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p>
    <w:p>
      <w:pPr>
        <w:pStyle w:val="Normal"/>
        <w:rPr>
          <w:rFonts w:ascii="Arial" w:hAnsi="Arial" w:cs="Arial"/>
          <w:i/>
          <w:i/>
          <w:iCs/>
          <w:color w:val="5B5B5F"/>
          <w:sz w:val="28"/>
          <w:szCs w:val="28"/>
        </w:rPr>
      </w:pPr>
      <w:r>
        <w:rPr>
          <w:rFonts w:cs="Arial" w:ascii="Arial" w:hAnsi="Arial"/>
          <w:i/>
          <w:iCs/>
          <w:color w:val="5B5B5F"/>
          <w:sz w:val="28"/>
          <w:szCs w:val="28"/>
        </w:rPr>
        <w:t>49/2023</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158141</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color w:themeColor="text1" w:themeTint="a6"/>
          <w:highlight w:val="none"/>
          <w:shd w:fill="auto" w:val="clear"/>
        </w:rPr>
      </w:pPr>
      <w:r>
        <w:rPr>
          <w:rFonts w:cs="Arial" w:ascii="docs-Calibri" w:hAnsi="docs-Calibri"/>
          <w:b w:val="false"/>
          <w:i w:val="false"/>
          <w:caps w:val="false"/>
          <w:smallCaps w:val="false"/>
          <w:color w:val="000000" w:themeTint="a6"/>
          <w:spacing w:val="0"/>
          <w:sz w:val="24"/>
          <w:szCs w:val="28"/>
          <w:shd w:fill="auto" w:val="clear"/>
        </w:rPr>
        <w:t>Contratação de empresa especializada em serviços de desinsetização e desratização para o IFRS - Campus Ibirubá</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eastAsia="" w:cs="Arial"/>
          <w:b/>
          <w:b/>
          <w:bCs/>
          <w:color w:val="5B5B5F"/>
          <w:kern w:val="0"/>
          <w:sz w:val="28"/>
          <w:szCs w:val="28"/>
          <w:highlight w:val="none"/>
          <w:shd w:fill="auto" w:val="clear"/>
          <w:lang w:val="pt-BR" w:eastAsia="pt-BR" w:bidi="ar-SA"/>
        </w:rPr>
      </w:pPr>
      <w:r>
        <w:rPr>
          <w:rFonts w:eastAsia="" w:cs="Arial" w:ascii="Arial" w:hAnsi="Arial"/>
          <w:b/>
          <w:bCs/>
          <w:color w:val="5B5B5F"/>
          <w:kern w:val="0"/>
          <w:sz w:val="28"/>
          <w:szCs w:val="28"/>
          <w:shd w:fill="auto" w:val="clear"/>
          <w:lang w:val="pt-BR" w:eastAsia="pt-BR" w:bidi="ar-SA"/>
        </w:rPr>
        <w:t xml:space="preserve">R$ </w:t>
      </w:r>
      <w:r>
        <w:rPr>
          <w:rFonts w:eastAsia="" w:cs="Arial" w:ascii="Arial" w:hAnsi="Arial"/>
          <w:b/>
          <w:bCs/>
          <w:i w:val="false"/>
          <w:caps w:val="false"/>
          <w:smallCaps w:val="false"/>
          <w:strike w:val="false"/>
          <w:dstrike w:val="false"/>
          <w:color w:val="5B5B5F"/>
          <w:kern w:val="0"/>
          <w:sz w:val="28"/>
          <w:szCs w:val="28"/>
          <w:u w:val="none"/>
          <w:effect w:val="none"/>
          <w:shd w:fill="auto" w:val="clear"/>
          <w:lang w:val="pt-BR" w:eastAsia="pt-BR" w:bidi="ar-SA"/>
        </w:rPr>
        <w:t>34.803,31</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32"/>
          <w:szCs w:val="32"/>
        </w:rPr>
        <w:t>DATA DA SESSÃO PÚBLICA</w:t>
      </w:r>
    </w:p>
    <w:p>
      <w:pPr>
        <w:pStyle w:val="Normal"/>
        <w:rPr>
          <w:highlight w:val="none"/>
          <w:shd w:fill="auto" w:val="clear"/>
        </w:rPr>
      </w:pPr>
      <w:r>
        <w:rPr>
          <w:rFonts w:cs="Arial" w:ascii="Arial" w:hAnsi="Arial"/>
          <w:b/>
          <w:bCs/>
          <w:color w:val="5B5B5F"/>
          <w:sz w:val="28"/>
          <w:szCs w:val="28"/>
          <w:shd w:fill="auto" w:val="clear"/>
        </w:rPr>
        <w:t xml:space="preserve">Dia </w:t>
      </w:r>
      <w:r>
        <w:rPr>
          <w:rFonts w:cs="Arial" w:ascii="Arial" w:hAnsi="Arial"/>
          <w:b/>
          <w:bCs/>
          <w:color w:val="5B5B5F"/>
          <w:sz w:val="28"/>
          <w:szCs w:val="28"/>
          <w:shd w:fill="auto" w:val="clear"/>
        </w:rPr>
        <w:t>14</w:t>
      </w:r>
      <w:r>
        <w:rPr>
          <w:rFonts w:cs="Arial" w:ascii="Arial" w:hAnsi="Arial"/>
          <w:b/>
          <w:bCs/>
          <w:color w:val="5B5B5F"/>
          <w:sz w:val="28"/>
          <w:szCs w:val="28"/>
          <w:shd w:fill="auto" w:val="clear"/>
        </w:rPr>
        <w:t>/</w:t>
      </w:r>
      <w:r>
        <w:rPr>
          <w:rFonts w:cs="Arial" w:ascii="Arial" w:hAnsi="Arial"/>
          <w:b/>
          <w:bCs/>
          <w:color w:val="5B5B5F"/>
          <w:sz w:val="28"/>
          <w:szCs w:val="28"/>
          <w:shd w:fill="auto" w:val="clear"/>
        </w:rPr>
        <w:t>11</w:t>
      </w:r>
      <w:r>
        <w:rPr>
          <w:rFonts w:cs="Arial" w:ascii="Arial" w:hAnsi="Arial"/>
          <w:b/>
          <w:bCs/>
          <w:color w:val="5B5B5F"/>
          <w:sz w:val="28"/>
          <w:szCs w:val="28"/>
          <w:shd w:fill="auto" w:val="clear"/>
        </w:rPr>
        <w:t>/</w:t>
      </w:r>
      <w:r>
        <w:rPr>
          <w:rFonts w:cs="Arial" w:ascii="Arial" w:hAnsi="Arial"/>
          <w:b/>
          <w:bCs/>
          <w:color w:val="5B5B5F"/>
          <w:sz w:val="28"/>
          <w:szCs w:val="28"/>
          <w:shd w:fill="auto" w:val="clear"/>
        </w:rPr>
        <w:t>2023</w:t>
      </w:r>
      <w:r>
        <w:rPr>
          <w:rFonts w:cs="Arial" w:ascii="Arial" w:hAnsi="Arial"/>
          <w:b/>
          <w:bCs/>
          <w:color w:val="5B5B5F"/>
          <w:sz w:val="28"/>
          <w:szCs w:val="28"/>
          <w:shd w:fill="auto" w:val="clear"/>
        </w:rPr>
        <w:t xml:space="preserve"> </w:t>
      </w:r>
      <w:r>
        <w:rPr>
          <w:rFonts w:cs="Arial" w:ascii="Arial" w:hAnsi="Arial"/>
          <w:color w:val="5B5B5F"/>
          <w:sz w:val="28"/>
          <w:szCs w:val="28"/>
          <w:shd w:fill="auto" w:val="clear"/>
        </w:rPr>
        <w:t xml:space="preserve">às </w:t>
      </w:r>
      <w:r>
        <w:rPr>
          <w:rFonts w:cs="Arial" w:ascii="Arial" w:hAnsi="Arial"/>
          <w:b/>
          <w:bCs/>
          <w:color w:val="5B5B5F"/>
          <w:sz w:val="28"/>
          <w:szCs w:val="28"/>
          <w:shd w:fill="auto" w:val="clear"/>
        </w:rPr>
        <w:t>08:30h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grupo</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val="595959" w:themeColor="text1" w:themeTint="a6"/>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highlight w:val="none"/>
          <w:shd w:fill="auto" w:val="clear"/>
        </w:rPr>
      </w:pPr>
      <w:r>
        <w:rPr>
          <w:rFonts w:cs="Arial" w:ascii="Arial" w:hAnsi="Arial"/>
          <w:b/>
          <w:bCs/>
          <w:color w:val="5B5B5F"/>
          <w:sz w:val="26"/>
          <w:szCs w:val="26"/>
          <w:shd w:fill="auto" w:val="clear"/>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tulodosumrio"/>
            <w:spacing w:lineRule="auto" w:line="259" w:before="240" w:after="0"/>
            <w:rPr>
              <w:b w:val="false"/>
              <w:b w:val="false"/>
              <w:bCs w:val="false"/>
              <w:sz w:val="32"/>
              <w:szCs w:val="32"/>
            </w:rPr>
          </w:pPr>
          <w:r>
            <w:rPr>
              <w:b w:val="false"/>
              <w:bCs w:val="false"/>
              <w:sz w:val="32"/>
              <w:szCs w:val="32"/>
            </w:rPr>
            <w:t>Sumário</w:t>
            <w:br/>
          </w:r>
        </w:p>
        <w:p>
          <w:pPr>
            <w:pStyle w:val="Sumrio1"/>
            <w:tabs>
              <w:tab w:val="clear" w:pos="426"/>
              <w:tab w:val="clear" w:pos="9628"/>
              <w:tab w:val="right" w:pos="9638" w:leader="dot"/>
            </w:tabs>
            <w:rPr/>
          </w:pPr>
          <w:r>
            <w:fldChar w:fldCharType="begin"/>
          </w:r>
          <w:r>
            <w:rPr>
              <w:webHidden/>
              <w:rStyle w:val="Vnculodendice"/>
            </w:rPr>
            <w:instrText xml:space="preserve"> TOC \z \o "1-3" \u \h</w:instrText>
          </w:r>
          <w:r>
            <w:rPr>
              <w:webHidden/>
              <w:rStyle w:val="Vnculodendice"/>
            </w:rPr>
            <w:fldChar w:fldCharType="separate"/>
          </w:r>
          <w:hyperlink w:anchor="__RefHeading___Toc2409_4057462178">
            <w:r>
              <w:rPr>
                <w:webHidden/>
                <w:rStyle w:val="Vnculodendice"/>
              </w:rPr>
              <w:t>1. DO OBJETO</w:t>
              <w:tab/>
              <w:t>3</w:t>
            </w:r>
          </w:hyperlink>
        </w:p>
        <w:p>
          <w:pPr>
            <w:pStyle w:val="Sumrio1"/>
            <w:tabs>
              <w:tab w:val="clear" w:pos="426"/>
              <w:tab w:val="clear" w:pos="9628"/>
              <w:tab w:val="right" w:pos="9638" w:leader="dot"/>
            </w:tabs>
            <w:rPr/>
          </w:pPr>
          <w:hyperlink w:anchor="__RefHeading___Toc2411_4057462178">
            <w:r>
              <w:rPr>
                <w:webHidden/>
                <w:rStyle w:val="Vnculodendice"/>
              </w:rPr>
              <w:t>2. DA PARTICIPAÇÃO NA LICITAÇÃO</w:t>
              <w:tab/>
              <w:t>3</w:t>
            </w:r>
          </w:hyperlink>
        </w:p>
        <w:p>
          <w:pPr>
            <w:pStyle w:val="Sumrio1"/>
            <w:tabs>
              <w:tab w:val="clear" w:pos="426"/>
              <w:tab w:val="clear" w:pos="9628"/>
              <w:tab w:val="right" w:pos="9638" w:leader="dot"/>
            </w:tabs>
            <w:rPr/>
          </w:pPr>
          <w:hyperlink w:anchor="__RefHeading___Toc2413_4057462178">
            <w:r>
              <w:rPr>
                <w:webHidden/>
                <w:rStyle w:val="Vnculodendice"/>
              </w:rPr>
              <w:t>3. DA APRESENTAÇÃO DA PROPOSTA E DOS DOCUMENTOS DE HABILITAÇÃO</w:t>
              <w:tab/>
              <w:t>5</w:t>
            </w:r>
          </w:hyperlink>
        </w:p>
        <w:p>
          <w:pPr>
            <w:pStyle w:val="Sumrio1"/>
            <w:tabs>
              <w:tab w:val="clear" w:pos="426"/>
              <w:tab w:val="clear" w:pos="9628"/>
              <w:tab w:val="right" w:pos="9638" w:leader="dot"/>
            </w:tabs>
            <w:rPr/>
          </w:pPr>
          <w:hyperlink w:anchor="__RefHeading___Toc2415_4057462178">
            <w:r>
              <w:rPr>
                <w:webHidden/>
                <w:rStyle w:val="Vnculodendice"/>
              </w:rPr>
              <w:t>4. DO PREENCHIMENTO DA PROPOSTA</w:t>
              <w:tab/>
              <w:t>6</w:t>
            </w:r>
          </w:hyperlink>
        </w:p>
        <w:p>
          <w:pPr>
            <w:pStyle w:val="Sumrio1"/>
            <w:tabs>
              <w:tab w:val="clear" w:pos="426"/>
              <w:tab w:val="clear" w:pos="9628"/>
              <w:tab w:val="right" w:pos="9638" w:leader="dot"/>
            </w:tabs>
            <w:rPr/>
          </w:pPr>
          <w:hyperlink w:anchor="__RefHeading___Toc2417_4057462178">
            <w:r>
              <w:rPr>
                <w:webHidden/>
                <w:rStyle w:val="Vnculodendice"/>
              </w:rPr>
              <w:t>5. DA ABERTURA DA SESSÃO, CLASSIFICAÇÃO DAS PROPOSTAS E FORMULAÇÃO DE LANCES</w:t>
              <w:tab/>
              <w:t>7</w:t>
            </w:r>
          </w:hyperlink>
        </w:p>
        <w:p>
          <w:pPr>
            <w:pStyle w:val="Sumrio1"/>
            <w:tabs>
              <w:tab w:val="clear" w:pos="426"/>
              <w:tab w:val="clear" w:pos="9628"/>
              <w:tab w:val="right" w:pos="9638" w:leader="dot"/>
            </w:tabs>
            <w:rPr/>
          </w:pPr>
          <w:hyperlink w:anchor="__RefHeading___Toc2419_4057462178">
            <w:r>
              <w:rPr>
                <w:webHidden/>
                <w:rStyle w:val="Vnculodendice"/>
              </w:rPr>
              <w:t>6. DA FASE DE JULGAMENTO</w:t>
              <w:tab/>
              <w:t>9</w:t>
            </w:r>
          </w:hyperlink>
        </w:p>
        <w:p>
          <w:pPr>
            <w:pStyle w:val="Sumrio1"/>
            <w:tabs>
              <w:tab w:val="clear" w:pos="426"/>
              <w:tab w:val="clear" w:pos="9628"/>
              <w:tab w:val="right" w:pos="9638" w:leader="dot"/>
            </w:tabs>
            <w:rPr/>
          </w:pPr>
          <w:hyperlink w:anchor="__RefHeading___Toc2421_4057462178">
            <w:r>
              <w:rPr>
                <w:webHidden/>
                <w:rStyle w:val="Vnculodendice"/>
              </w:rPr>
              <w:t>7. DA FASE DE HABILITAÇÃO</w:t>
              <w:tab/>
              <w:t>10</w:t>
            </w:r>
          </w:hyperlink>
        </w:p>
        <w:p>
          <w:pPr>
            <w:pStyle w:val="Sumrio1"/>
            <w:tabs>
              <w:tab w:val="clear" w:pos="426"/>
              <w:tab w:val="clear" w:pos="9628"/>
              <w:tab w:val="right" w:pos="9638" w:leader="dot"/>
            </w:tabs>
            <w:rPr/>
          </w:pPr>
          <w:hyperlink w:anchor="__RefHeading___Toc2423_4057462178">
            <w:r>
              <w:rPr>
                <w:webHidden/>
                <w:rStyle w:val="Vnculodendice"/>
              </w:rPr>
              <w:t>8. DOS RECURSOS</w:t>
              <w:tab/>
              <w:t>12</w:t>
            </w:r>
          </w:hyperlink>
        </w:p>
        <w:p>
          <w:pPr>
            <w:pStyle w:val="Sumrio1"/>
            <w:tabs>
              <w:tab w:val="clear" w:pos="426"/>
              <w:tab w:val="clear" w:pos="9628"/>
              <w:tab w:val="right" w:pos="9638" w:leader="dot"/>
            </w:tabs>
            <w:rPr/>
          </w:pPr>
          <w:hyperlink w:anchor="__RefHeading___Toc2425_4057462178">
            <w:r>
              <w:rPr>
                <w:webHidden/>
                <w:rStyle w:val="Vnculodendice"/>
              </w:rPr>
              <w:t>9. DAS INFRAÇÕES ADMINISTRATIVAS E SANÇÕES</w:t>
              <w:tab/>
              <w:t>12</w:t>
            </w:r>
          </w:hyperlink>
        </w:p>
        <w:p>
          <w:pPr>
            <w:pStyle w:val="Sumrio1"/>
            <w:tabs>
              <w:tab w:val="clear" w:pos="426"/>
              <w:tab w:val="clear" w:pos="9628"/>
              <w:tab w:val="right" w:pos="9638" w:leader="dot"/>
            </w:tabs>
            <w:rPr/>
          </w:pPr>
          <w:hyperlink w:anchor="__RefHeading___Toc2427_4057462178">
            <w:r>
              <w:rPr>
                <w:webHidden/>
                <w:rStyle w:val="Vnculodendice"/>
              </w:rPr>
              <w:t>10. DA IMPUGNAÇÃO AO EDITAL E DO PEDIDO DE ESCLARECIMENTO</w:t>
              <w:tab/>
              <w:t>14</w:t>
            </w:r>
          </w:hyperlink>
        </w:p>
        <w:p>
          <w:pPr>
            <w:pStyle w:val="Sumrio1"/>
            <w:tabs>
              <w:tab w:val="clear" w:pos="426"/>
              <w:tab w:val="clear" w:pos="9628"/>
              <w:tab w:val="right" w:pos="9638" w:leader="dot"/>
            </w:tabs>
            <w:rPr/>
          </w:pPr>
          <w:hyperlink w:anchor="__RefHeading___Toc2429_4057462178">
            <w:r>
              <w:rPr>
                <w:webHidden/>
                <w:rStyle w:val="Vnculodendice"/>
              </w:rPr>
              <w:t>11. DAS DISPOSIÇÕES GERAIS</w:t>
              <w:tab/>
              <w:t>15</w:t>
            </w:r>
          </w:hyperlink>
          <w:r>
            <w:rPr>
              <w:rStyle w:val="Vnculodendice"/>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Normal"/>
        <w:spacing w:lineRule="auto" w:line="312" w:before="288" w:after="288"/>
        <w:ind w:firstLine="567"/>
        <w:jc w:val="center"/>
        <w:rPr>
          <w:rFonts w:ascii="Arial" w:hAnsi="Arial" w:eastAsia="ＭＳ 明朝" w:cs="Arial"/>
          <w:b/>
          <w:b/>
          <w:i/>
          <w:i/>
          <w:color w:val="000000"/>
          <w:kern w:val="0"/>
          <w:sz w:val="20"/>
          <w:szCs w:val="20"/>
          <w:lang w:val="pt-BR" w:eastAsia="pt-BR" w:bidi="ar-SA"/>
        </w:rPr>
      </w:pPr>
      <w:r>
        <w:rPr>
          <w:rFonts w:eastAsia="ＭＳ 明朝" w:cs="Arial" w:ascii="Arial" w:hAnsi="Arial"/>
          <w:b/>
          <w:i/>
          <w:color w:val="000000"/>
          <w:kern w:val="0"/>
          <w:sz w:val="20"/>
          <w:szCs w:val="20"/>
          <w:lang w:val="pt-BR" w:eastAsia="pt-BR" w:bidi="ar-SA"/>
        </w:rPr>
        <w:t>EDITAL</w:t>
      </w:r>
    </w:p>
    <w:p>
      <w:pPr>
        <w:pStyle w:val="Normal"/>
        <w:spacing w:lineRule="auto" w:line="312" w:before="288" w:after="288"/>
        <w:ind w:firstLine="567"/>
        <w:jc w:val="center"/>
        <w:rPr>
          <w:rFonts w:ascii="Arial" w:hAnsi="Arial" w:eastAsia="ＭＳ 明朝" w:cs="Arial"/>
          <w:b/>
          <w:b/>
          <w:color w:val="000000"/>
          <w:kern w:val="0"/>
          <w:sz w:val="20"/>
          <w:szCs w:val="20"/>
          <w:lang w:val="pt-BR" w:eastAsia="pt-BR" w:bidi="ar-SA"/>
        </w:rPr>
      </w:pPr>
      <w:r>
        <w:rPr>
          <w:rFonts w:eastAsia="ＭＳ 明朝" w:cs="Arial" w:ascii="Arial" w:hAnsi="Arial"/>
          <w:b/>
          <w:i/>
          <w:color w:val="000000"/>
          <w:kern w:val="0"/>
          <w:sz w:val="20"/>
          <w:szCs w:val="20"/>
          <w:lang w:val="pt-BR" w:eastAsia="pt-BR" w:bidi="ar-SA"/>
        </w:rPr>
        <w:t>IFRS – CAMPUS IBIRUBÁ</w:t>
      </w:r>
    </w:p>
    <w:p>
      <w:pPr>
        <w:pStyle w:val="Normal"/>
        <w:spacing w:lineRule="auto" w:line="312" w:before="288" w:after="288"/>
        <w:ind w:firstLine="567"/>
        <w:jc w:val="center"/>
        <w:rPr>
          <w:rFonts w:ascii="Arial" w:hAnsi="Arial" w:eastAsia="Times New Roman" w:cs="Arial"/>
          <w:b/>
          <w:b/>
          <w:color w:val="000000"/>
          <w:sz w:val="20"/>
          <w:szCs w:val="20"/>
        </w:rPr>
      </w:pPr>
      <w:r>
        <w:rPr>
          <w:rFonts w:cs="Arial" w:ascii="Arial" w:hAnsi="Arial"/>
          <w:b/>
          <w:color w:val="000000"/>
          <w:sz w:val="20"/>
          <w:szCs w:val="20"/>
        </w:rPr>
        <w:t>PREGÃO ELETRÔNICO Nº 49/2023</w:t>
      </w:r>
    </w:p>
    <w:p>
      <w:pPr>
        <w:pStyle w:val="Normal"/>
        <w:spacing w:lineRule="auto" w:line="312" w:before="288" w:after="288"/>
        <w:ind w:firstLine="567"/>
        <w:jc w:val="center"/>
        <w:rPr>
          <w:rFonts w:ascii="Arial" w:hAnsi="Arial" w:cs="Arial"/>
          <w:bCs/>
          <w:color w:val="000000"/>
          <w:sz w:val="20"/>
          <w:szCs w:val="20"/>
        </w:rPr>
      </w:pPr>
      <w:r>
        <w:rPr>
          <w:rFonts w:cs="Arial" w:ascii="Arial" w:hAnsi="Arial"/>
          <w:color w:val="000000"/>
          <w:sz w:val="20"/>
          <w:szCs w:val="20"/>
        </w:rPr>
        <w:t>(Processo Administrativo n</w:t>
      </w:r>
      <w:r>
        <w:rPr>
          <w:rFonts w:eastAsia="ＭＳ 明朝" w:cs="Arial" w:ascii="Arial" w:hAnsi="Arial"/>
          <w:bCs/>
          <w:color w:val="000000"/>
          <w:kern w:val="0"/>
          <w:sz w:val="20"/>
          <w:szCs w:val="20"/>
          <w:lang w:val="pt-BR" w:eastAsia="pt-BR" w:bidi="ar-SA"/>
        </w:rPr>
        <w:t xml:space="preserve">° </w:t>
      </w:r>
      <w:r>
        <w:rPr>
          <w:rFonts w:eastAsia="ＭＳ 明朝" w:cs="Arial" w:ascii="Arial" w:hAnsi="Arial"/>
          <w:b w:val="false"/>
          <w:bCs/>
          <w:i w:val="false"/>
          <w:caps w:val="false"/>
          <w:smallCaps w:val="false"/>
          <w:color w:val="000000"/>
          <w:spacing w:val="0"/>
          <w:kern w:val="0"/>
          <w:sz w:val="20"/>
          <w:szCs w:val="20"/>
          <w:lang w:val="pt-BR" w:eastAsia="pt-BR" w:bidi="ar-SA"/>
        </w:rPr>
        <w:t>23366.000572/2023-40</w:t>
      </w:r>
      <w:r>
        <w:rPr>
          <w:rFonts w:eastAsia="ＭＳ 明朝" w:cs="Arial" w:ascii="Arial" w:hAnsi="Arial"/>
          <w:bCs/>
          <w:color w:val="000000"/>
          <w:kern w:val="0"/>
          <w:sz w:val="20"/>
          <w:szCs w:val="20"/>
          <w:lang w:val="pt-BR" w:eastAsia="pt-BR" w:bidi="ar-SA"/>
        </w:rPr>
        <w:t>)</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ind w:left="0" w:firstLine="1134"/>
        <w:rPr>
          <w:rFonts w:eastAsia="Times New Roman"/>
        </w:rPr>
      </w:pPr>
      <w:r>
        <w:rPr/>
        <w:t>Torna-se públi</w:t>
      </w:r>
      <w:r>
        <w:rPr>
          <w:i w:val="false"/>
          <w:iCs w:val="false"/>
          <w:color w:val="auto"/>
        </w:rPr>
        <w:t xml:space="preserve">co que o(a) </w:t>
      </w:r>
      <w:r>
        <w:rPr>
          <w:rFonts w:eastAsia="Arial" w:cs="Arial"/>
          <w:i w:val="false"/>
          <w:iCs w:val="false"/>
          <w:color w:val="auto"/>
          <w:sz w:val="20"/>
          <w:szCs w:val="20"/>
        </w:rPr>
        <w:t>Instituto Federal de Educação, Ciência e Tecnologia do Rio Grande do Sul – Campus Ibirubá, por meio da Coordenadoria de Licitações e Contratos, sediado(a) na Rua Nelsi Ribas Fritsch, nº 1111, Bairro Esperança, Ibirubá/RS</w:t>
      </w:r>
      <w:r>
        <w:rPr>
          <w:i w:val="false"/>
          <w:iCs w:val="false"/>
          <w:color w:val="auto"/>
        </w:rPr>
        <w:t>, realizará licita</w:t>
      </w:r>
      <w:r>
        <w:rPr/>
        <w:t>ção, na modalidade PREGÃO, na forma ELETRÔNICA,</w:t>
      </w:r>
      <w:r>
        <w:rPr>
          <w:rFonts w:eastAsia="Times New Roman"/>
        </w:rPr>
        <w:t xml:space="preserve"> </w:t>
      </w:r>
      <w:r>
        <w:rPr/>
        <w:t xml:space="preserve">nos termos da </w:t>
      </w:r>
      <w:hyperlink r:id="rId2">
        <w:r>
          <w:rPr>
            <w:rStyle w:val="LinkdaInternet"/>
          </w:rPr>
          <w:t>Lei nº 14.133, de 1º de abril de 2021</w:t>
        </w:r>
      </w:hyperlink>
      <w:r>
        <w:rPr/>
        <w:t>, e demais legislação aplicável e, ainda, de acordo com as condições estabelecidas neste Edital</w:t>
      </w:r>
      <w:r>
        <w:rPr>
          <w:rFonts w:eastAsia="Times New Roman"/>
        </w:rPr>
        <w:t>.</w:t>
      </w:r>
    </w:p>
    <w:p>
      <w:pPr>
        <w:pStyle w:val="Nivel01"/>
        <w:numPr>
          <w:ilvl w:val="0"/>
          <w:numId w:val="1"/>
        </w:numPr>
        <w:rPr>
          <w:lang w:eastAsia="en-US"/>
        </w:rPr>
      </w:pPr>
      <w:bookmarkStart w:id="0" w:name="__RefHeading___Toc2409_4057462178"/>
      <w:bookmarkStart w:id="1" w:name="_Toc135469223"/>
      <w:bookmarkEnd w:id="0"/>
      <w:r>
        <w:rPr>
          <w:lang w:eastAsia="en-US"/>
        </w:rPr>
        <w:t>DO OBJETO</w:t>
      </w:r>
      <w:bookmarkEnd w:id="1"/>
    </w:p>
    <w:p>
      <w:pPr>
        <w:pStyle w:val="Nivel2"/>
        <w:numPr>
          <w:ilvl w:val="1"/>
          <w:numId w:val="1"/>
        </w:numPr>
        <w:ind w:left="0" w:hanging="0"/>
        <w:rPr/>
      </w:pPr>
      <w:r>
        <w:rPr/>
        <w:t>O obj</w:t>
      </w:r>
      <w:r>
        <w:rPr>
          <w:i w:val="false"/>
          <w:iCs w:val="false"/>
          <w:color w:val="auto"/>
        </w:rPr>
        <w:t>eto da presente lici</w:t>
      </w:r>
      <w:r>
        <w:rPr>
          <w:rFonts w:cs="Arial"/>
          <w:i w:val="false"/>
          <w:iCs w:val="false"/>
          <w:color w:val="auto"/>
          <w:sz w:val="20"/>
          <w:szCs w:val="20"/>
          <w:lang w:eastAsia="pt-BR"/>
        </w:rPr>
        <w:t xml:space="preserve">tação é a prestação do serviço de </w:t>
      </w:r>
      <w:r>
        <w:rPr>
          <w:rFonts w:cs="Arial"/>
          <w:b w:val="false"/>
          <w:i w:val="false"/>
          <w:iCs w:val="false"/>
          <w:caps w:val="false"/>
          <w:smallCaps w:val="false"/>
          <w:color w:val="000000"/>
          <w:spacing w:val="0"/>
          <w:sz w:val="20"/>
          <w:szCs w:val="20"/>
          <w:shd w:fill="auto" w:val="clear"/>
          <w:lang w:eastAsia="pt-BR"/>
        </w:rPr>
        <w:t>desinsetização e desratização para o IFRS - Campus Ibirubá</w:t>
      </w:r>
      <w:r>
        <w:rPr>
          <w:rFonts w:cs="Arial"/>
          <w:b w:val="false"/>
          <w:i w:val="false"/>
          <w:iCs w:val="false"/>
          <w:caps w:val="false"/>
          <w:smallCaps w:val="false"/>
          <w:color w:val="000000"/>
          <w:spacing w:val="0"/>
          <w:sz w:val="20"/>
          <w:szCs w:val="20"/>
          <w:shd w:fill="auto" w:val="clear"/>
          <w:lang w:eastAsia="pt-BR"/>
        </w:rPr>
        <w:t xml:space="preserve">, </w:t>
      </w:r>
      <w:r>
        <w:rPr>
          <w:rFonts w:cs="Arial"/>
          <w:i w:val="false"/>
          <w:iCs w:val="false"/>
          <w:color w:val="auto"/>
          <w:sz w:val="20"/>
          <w:szCs w:val="20"/>
          <w:lang w:eastAsia="pt-BR"/>
        </w:rPr>
        <w:t>conforme condições, quantidades e exigências estabel</w:t>
      </w:r>
      <w:r>
        <w:rPr>
          <w:i w:val="false"/>
          <w:iCs w:val="false"/>
          <w:color w:val="auto"/>
        </w:rPr>
        <w:t>ecidas neste Edital e seus anexos.</w:t>
      </w:r>
    </w:p>
    <w:p>
      <w:pPr>
        <w:pStyle w:val="Nvel2Red"/>
        <w:numPr>
          <w:ilvl w:val="1"/>
          <w:numId w:val="1"/>
        </w:numPr>
        <w:ind w:left="0" w:hanging="0"/>
        <w:rPr>
          <w:rFonts w:ascii="Arial" w:hAnsi="Arial" w:eastAsia="" w:cs="Arial"/>
          <w:i w:val="false"/>
          <w:i w:val="false"/>
          <w:iCs w:val="false"/>
          <w:color w:val="auto"/>
          <w:kern w:val="0"/>
          <w:sz w:val="20"/>
          <w:szCs w:val="20"/>
          <w:lang w:val="pt-BR" w:eastAsia="pt-BR" w:bidi="ar-SA"/>
        </w:rPr>
      </w:pPr>
      <w:r>
        <w:rPr>
          <w:rFonts w:eastAsia="" w:cs="Arial"/>
          <w:i w:val="false"/>
          <w:iCs w:val="false"/>
          <w:color w:val="auto"/>
          <w:kern w:val="0"/>
          <w:sz w:val="20"/>
          <w:szCs w:val="20"/>
          <w:lang w:val="pt-BR" w:eastAsia="pt-BR" w:bidi="ar-SA"/>
        </w:rPr>
        <w:t>A licitação será realizada em grupo único, formado por 02 (dois) itens, conforme tabela constante no Termo de Referência, devendo o licitante oferecer proposta para todos os itens que o compõem.</w:t>
      </w:r>
    </w:p>
    <w:p>
      <w:pPr>
        <w:pStyle w:val="Nvel2Red"/>
        <w:numPr>
          <w:ilvl w:val="0"/>
          <w:numId w:val="0"/>
        </w:numPr>
        <w:ind w:left="0" w:hanging="0"/>
        <w:rPr/>
      </w:pPr>
      <w:r>
        <w:rPr/>
      </w:r>
    </w:p>
    <w:p>
      <w:pPr>
        <w:pStyle w:val="Nivel01"/>
        <w:numPr>
          <w:ilvl w:val="0"/>
          <w:numId w:val="1"/>
        </w:numPr>
        <w:rPr/>
      </w:pPr>
      <w:bookmarkStart w:id="2" w:name="__RefHeading___Toc2411_4057462178"/>
      <w:bookmarkStart w:id="3" w:name="_Toc135469225"/>
      <w:bookmarkStart w:id="4" w:name="_Toc135469224"/>
      <w:bookmarkEnd w:id="2"/>
      <w:bookmarkEnd w:id="4"/>
      <w:r>
        <w:rPr/>
        <w:t>DA PARTICIPAÇÃO NA LICITAÇÃO</w:t>
      </w:r>
      <w:bookmarkEnd w:id="3"/>
    </w:p>
    <w:p>
      <w:pPr>
        <w:pStyle w:val="Nivel2"/>
        <w:numPr>
          <w:ilvl w:val="1"/>
          <w:numId w:val="1"/>
        </w:numPr>
        <w:ind w:left="0" w:hanging="0"/>
        <w:rPr/>
      </w:pPr>
      <w:bookmarkStart w:id="5" w:name="_Hlk135302270"/>
      <w:r>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t>).</w:t>
      </w:r>
      <w:bookmarkEnd w:id="5"/>
    </w:p>
    <w:p>
      <w:pPr>
        <w:pStyle w:val="Nivel3"/>
        <w:numPr>
          <w:ilvl w:val="2"/>
          <w:numId w:val="1"/>
        </w:numPr>
        <w:ind w:left="284" w:hanging="0"/>
        <w:rPr/>
      </w:pPr>
      <w:r>
        <w:rPr/>
        <w:t>O</w:t>
      </w:r>
      <w:bookmarkStart w:id="6" w:name="_Hlk135304247"/>
      <w:r>
        <w:rPr/>
        <w:t>s interessados deverão atender às condições exigidas no cadastramento no Sicaf até o terceiro dia útil anterior à data prevista para recebimento das propostas.</w:t>
      </w:r>
      <w:bookmarkEnd w:id="6"/>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1"/>
          <w:numId w:val="1"/>
        </w:numPr>
        <w:ind w:left="0" w:hanging="0"/>
        <w:rPr/>
      </w:pPr>
      <w:r>
        <w:rPr>
          <w:i w:val="false"/>
          <w:iCs w:val="false"/>
          <w:color w:val="auto"/>
        </w:rPr>
        <w:t xml:space="preserve">Para o grupo único a participação é exclusiva a microempresas e empresas de pequeno porte, nos termos do </w:t>
      </w:r>
      <w:hyperlink r:id="rId4">
        <w:r>
          <w:rPr>
            <w:rStyle w:val="LinkdaInternet"/>
            <w:i w:val="false"/>
            <w:iCs w:val="false"/>
            <w:color w:val="auto"/>
          </w:rPr>
          <w:t>art. 48 da Lei Complementar nº 123, de 14 de dezembro de 2006</w:t>
        </w:r>
      </w:hyperlink>
      <w:r>
        <w:rPr>
          <w:i w:val="false"/>
          <w:iCs w:val="false"/>
          <w:color w:val="auto"/>
        </w:rPr>
        <w:t>.</w:t>
      </w:r>
    </w:p>
    <w:p>
      <w:pPr>
        <w:pStyle w:val="Nvel3R"/>
        <w:numPr>
          <w:ilvl w:val="2"/>
          <w:numId w:val="1"/>
        </w:numPr>
        <w:ind w:left="284" w:hanging="0"/>
        <w:rPr>
          <w:i w:val="false"/>
          <w:i w:val="false"/>
          <w:iCs w:val="false"/>
          <w:color w:val="auto"/>
        </w:rPr>
      </w:pPr>
      <w:bookmarkStart w:id="7" w:name="_Ref117015508"/>
      <w:r>
        <w:rPr>
          <w:i w:val="false"/>
          <w:iCs w:val="false"/>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pPr>
        <w:pStyle w:val="Nivel2"/>
        <w:numPr>
          <w:ilvl w:val="1"/>
          <w:numId w:val="1"/>
        </w:numPr>
        <w:ind w:left="0" w:hanging="0"/>
        <w:rPr>
          <w:rFonts w:eastAsia="Times New Roman"/>
          <w:color w:val="auto"/>
        </w:rPr>
      </w:pPr>
      <w:r>
        <w:rPr>
          <w:color w:val="auto"/>
        </w:rPr>
        <w:t xml:space="preserve">Será concedido tratamento favorecido para as microempresas e empresas de pequeno porte, </w:t>
      </w:r>
      <w:r>
        <w:rPr>
          <w:color w:val="auto"/>
        </w:rPr>
        <w:t xml:space="preserve">para as sociedades cooperativas </w:t>
      </w:r>
      <w:r>
        <w:rPr>
          <w:rFonts w:eastAsia="Times New Roman"/>
          <w:color w:val="auto"/>
        </w:rPr>
        <w:t xml:space="preserve">mencionadas no </w:t>
      </w:r>
      <w:r>
        <w:fldChar w:fldCharType="begin"/>
      </w:r>
      <w:r>
        <w:rPr>
          <w:rStyle w:val="LinkdaInternet"/>
          <w:rFonts w:eastAsia="Times New Roman"/>
          <w:color w:val="auto"/>
        </w:rPr>
        <w:instrText xml:space="preserve"> HYPERLINK "http://www.planalto.gov.br/ccivil_03/_ato2019-2022/2021/lei/L14133.htm" \l "art16"</w:instrText>
      </w:r>
      <w:r>
        <w:rPr>
          <w:rStyle w:val="LinkdaInternet"/>
          <w:rFonts w:eastAsia="Times New Roman"/>
          <w:color w:val="auto"/>
        </w:rPr>
        <w:fldChar w:fldCharType="separate"/>
      </w:r>
      <w:r>
        <w:rPr>
          <w:rStyle w:val="LinkdaInternet"/>
          <w:rFonts w:eastAsia="Times New Roman"/>
          <w:color w:val="auto"/>
        </w:rPr>
        <w:t xml:space="preserve">artigo </w:t>
      </w:r>
      <w:r>
        <w:rPr>
          <w:rStyle w:val="LinkdaInternet"/>
          <w:rFonts w:eastAsia="Times New Roman"/>
          <w:color w:val="auto"/>
        </w:rPr>
        <w:fldChar w:fldCharType="end"/>
      </w:r>
      <w:r>
        <w:rPr>
          <w:rStyle w:val="LinkdaInternet"/>
          <w:color w:val="auto"/>
        </w:rPr>
        <w:t>16 da Lei nº 14.133, de 2021</w:t>
      </w:r>
      <w:r>
        <w:rPr>
          <w:color w:val="auto"/>
        </w:rPr>
        <w:t xml:space="preserve">, para o agricultor familiar, o produtor rural pessoa física e para o microempreendedor individual - MEI, nos limites previstos da </w:t>
      </w:r>
      <w:hyperlink r:id="rId5">
        <w:r>
          <w:rPr>
            <w:rStyle w:val="LinkdaInternet"/>
          </w:rPr>
          <w:t>Lei Complementar nº 123, de 2006</w:t>
        </w:r>
      </w:hyperlink>
      <w:r>
        <w:rPr>
          <w:color w:val="auto"/>
        </w:rPr>
        <w:t xml:space="preserve"> e do Decreto n.º 8.538, de 2015.</w:t>
      </w:r>
    </w:p>
    <w:p>
      <w:pPr>
        <w:pStyle w:val="Nivel2"/>
        <w:numPr>
          <w:ilvl w:val="1"/>
          <w:numId w:val="1"/>
        </w:numPr>
        <w:ind w:left="0" w:hanging="0"/>
        <w:rPr/>
      </w:pPr>
      <w:bookmarkStart w:id="8" w:name="_Ref117000692"/>
      <w:r>
        <w:rPr/>
        <w:t>Não poderão disputar esta licitação:</w:t>
      </w:r>
      <w:bookmarkEnd w:id="8"/>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9" w:name="_Ref114659912"/>
      <w:bookmarkStart w:id="10" w:name="_Ref113883338"/>
      <w:r>
        <w:rPr/>
        <w:t>autor do anteprojeto, do projeto básico ou do projeto executivo, pessoa física ou jurídica, quando a licitação versar sobre serviços ou fornecimento de bens a ele relacionados;</w:t>
      </w:r>
      <w:bookmarkEnd w:id="9"/>
      <w:bookmarkEnd w:id="10"/>
    </w:p>
    <w:p>
      <w:pPr>
        <w:pStyle w:val="Nivel3"/>
        <w:numPr>
          <w:ilvl w:val="2"/>
          <w:numId w:val="1"/>
        </w:numPr>
        <w:ind w:left="284" w:hanging="0"/>
        <w:rPr/>
      </w:pPr>
      <w:bookmarkStart w:id="11" w:name="_Ref113883339"/>
      <w:bookmarkStart w:id="12"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t xml:space="preserve"> </w:t>
      </w:r>
      <w:bookmarkEnd w:id="11"/>
    </w:p>
    <w:p>
      <w:pPr>
        <w:pStyle w:val="Nivel3"/>
        <w:numPr>
          <w:ilvl w:val="2"/>
          <w:numId w:val="1"/>
        </w:numPr>
        <w:ind w:left="284" w:hanging="0"/>
        <w:rPr/>
      </w:pPr>
      <w:bookmarkStart w:id="13" w:name="_Ref113883003"/>
      <w:r>
        <w:rPr/>
        <w:t>pessoa física ou jurídica que se encontre, ao tempo da licitação, impossibilitada de participar da licitação em decorrência de sanção que lhe foi imposta;</w:t>
      </w:r>
      <w:bookmarkEnd w:id="13"/>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4" w:name="_Ref113883579"/>
      <w:r>
        <w:rPr/>
        <w:t>empresas controladoras, controladas ou coligadas, nos termos da Lei nº 6.404, de 15 de dezembro de 1976, concorrendo entre si;</w:t>
      </w:r>
      <w:bookmarkEnd w:id="14"/>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5" w:name="_Ref113962336"/>
      <w:r>
        <w:rPr/>
        <w:t>agente público do órgão ou entidade licitante;</w:t>
      </w:r>
      <w:bookmarkEnd w:id="15"/>
    </w:p>
    <w:p>
      <w:pPr>
        <w:pStyle w:val="Nvel3R"/>
        <w:numPr>
          <w:ilvl w:val="2"/>
          <w:numId w:val="1"/>
        </w:numPr>
        <w:ind w:left="284" w:hanging="0"/>
        <w:rPr>
          <w:i w:val="false"/>
          <w:i w:val="false"/>
          <w:iCs w:val="false"/>
          <w:color w:val="auto"/>
        </w:rPr>
      </w:pPr>
      <w:r>
        <w:rPr>
          <w:i w:val="false"/>
          <w:iCs w:val="false"/>
          <w:color w:val="auto"/>
        </w:rPr>
        <w:t>pessoas jurídicas reunidas em consórcio;</w:t>
      </w:r>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xml:space="preserve">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xml:space="preserve"> REF _Ref113883003 \r \h </w:instrText>
      </w:r>
      <w:r>
        <w:rPr/>
        <w:fldChar w:fldCharType="separate"/>
      </w:r>
      <w:r>
        <w:rPr/>
        <w:t>2.7.4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6" w:name="art14§2"/>
      <w:bookmarkEnd w:id="16"/>
      <w: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2.7.2</w:t>
      </w:r>
      <w:r>
        <w:rPr/>
        <w:fldChar w:fldCharType="end"/>
      </w:r>
      <w:r>
        <w:rPr/>
        <w:t xml:space="preserve"> e </w:t>
      </w:r>
      <w:r>
        <w:rPr/>
        <w:fldChar w:fldCharType="begin"/>
      </w:r>
      <w:r>
        <w:rPr/>
        <w:instrText xml:space="preserve"> REF _Ref114659913 \r \h </w:instrText>
      </w:r>
      <w:r>
        <w:rPr/>
        <w:fldChar w:fldCharType="separate"/>
      </w:r>
      <w:r>
        <w:rPr/>
        <w:t>2.7.3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7" w:name="art14§3"/>
      <w:bookmarkEnd w:id="17"/>
      <w:r>
        <w:rPr/>
        <w:t>Equiparam-se aos autores do projeto as empresas integrantes do mesmo grupo econômico.</w:t>
      </w:r>
    </w:p>
    <w:p>
      <w:pPr>
        <w:pStyle w:val="Nivel2"/>
        <w:numPr>
          <w:ilvl w:val="1"/>
          <w:numId w:val="1"/>
        </w:numPr>
        <w:ind w:left="0" w:hanging="0"/>
        <w:rPr/>
      </w:pPr>
      <w:bookmarkStart w:id="18" w:name="art14§4"/>
      <w:bookmarkEnd w:id="18"/>
      <w:r>
        <w:rPr/>
        <w:t xml:space="preserve">O disposto nos itens </w:t>
      </w:r>
      <w:r>
        <w:rPr/>
        <w:fldChar w:fldCharType="begin"/>
      </w:r>
      <w:r>
        <w:rPr/>
        <w:instrText xml:space="preserve"> REF _Ref114659912 \r \h </w:instrText>
      </w:r>
      <w:r>
        <w:rPr/>
        <w:fldChar w:fldCharType="separate"/>
      </w:r>
      <w:r>
        <w:rPr/>
        <w:t>2.7.2</w:t>
      </w:r>
      <w:r>
        <w:rPr/>
        <w:fldChar w:fldCharType="end"/>
      </w:r>
      <w:r>
        <w:rPr/>
        <w:t xml:space="preserve"> e </w:t>
      </w:r>
      <w:r>
        <w:rPr/>
        <w:fldChar w:fldCharType="begin"/>
      </w:r>
      <w:r>
        <w:rPr/>
        <w:instrText xml:space="preserve"> REF _Ref114659913 \r \h </w:instrText>
      </w:r>
      <w:r>
        <w:rPr/>
        <w:fldChar w:fldCharType="separate"/>
      </w:r>
      <w:r>
        <w:rPr/>
        <w:t>2.7.3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9" w:name="art14§5"/>
      <w:bookmarkEnd w:id="19"/>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xml:space="preserve"> REF _Ref113962336 \r \h </w:instrText>
      </w:r>
      <w:r>
        <w:rPr/>
        <w:fldChar w:fldCharType="separate"/>
      </w:r>
      <w:r>
        <w:rPr/>
        <w:t>2.7.8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20" w:name="__RefHeading___Toc2413_4057462178"/>
      <w:bookmarkStart w:id="21" w:name="_Toc135469226"/>
      <w:bookmarkEnd w:id="20"/>
      <w:r>
        <w:rPr/>
        <w:t>DA APRESENTAÇÃO DA PROPOSTA E DOS DOCUMENTOS DE HABILITAÇÃO</w:t>
      </w:r>
      <w:bookmarkEnd w:id="21"/>
    </w:p>
    <w:p>
      <w:pPr>
        <w:pStyle w:val="Nvel2Red"/>
        <w:numPr>
          <w:ilvl w:val="1"/>
          <w:numId w:val="1"/>
        </w:numPr>
        <w:ind w:left="0" w:hanging="0"/>
        <w:rPr>
          <w:i w:val="false"/>
          <w:i w:val="false"/>
          <w:iCs w:val="false"/>
          <w:color w:val="auto"/>
        </w:rPr>
      </w:pPr>
      <w:r>
        <w:rPr>
          <w:i w:val="false"/>
          <w:iCs w:val="false"/>
          <w:color w:val="auto"/>
        </w:rPr>
        <w:t>Na presente licitação, a fase de habilitação sucederá as fases de apresentação de propostas e lances e de julgamento.</w:t>
      </w:r>
    </w:p>
    <w:p>
      <w:pPr>
        <w:pStyle w:val="Nivel2"/>
        <w:numPr>
          <w:ilvl w:val="1"/>
          <w:numId w:val="1"/>
        </w:numPr>
        <w:ind w:left="0" w:hanging="0"/>
        <w:rPr/>
      </w:pPr>
      <w:bookmarkStart w:id="22"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23" w:name="_Ref113889589"/>
      <w:bookmarkEnd w:id="22"/>
      <w:bookmarkEnd w:id="23"/>
    </w:p>
    <w:p>
      <w:pPr>
        <w:pStyle w:val="Nivel2"/>
        <w:numPr>
          <w:ilvl w:val="1"/>
          <w:numId w:val="1"/>
        </w:numPr>
        <w:ind w:left="0" w:hanging="0"/>
        <w:rPr/>
      </w:pPr>
      <w:bookmarkStart w:id="24" w:name="_Ref113968921"/>
      <w:r>
        <w:rPr/>
        <w:t>No cadastramento da proposta inicial, o licitante declarará, em campo próprio do sistema, que:</w:t>
      </w:r>
      <w:bookmarkEnd w:id="24"/>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xml:space="preserve">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7">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xml:space="preserve">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5"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xml:space="preserve">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xml:space="preserve"> HYPERLINK "https://www.planalto.gov.br/ccivil_03/leis/lcp/lcp123.htm" \l "art42"</w:instrText>
      </w:r>
      <w:r>
        <w:rPr>
          <w:rStyle w:val="LinkdaInternet"/>
        </w:rPr>
        <w:fldChar w:fldCharType="separate"/>
      </w:r>
      <w:bookmarkEnd w:id="25"/>
      <w:r>
        <w:rPr>
          <w:rStyle w:val="LinkdaInternet"/>
        </w:rPr>
        <w:t>arts. 42 a 49</w:t>
      </w:r>
      <w:r>
        <w:rPr>
          <w:rStyle w:val="LinkdaInternet"/>
        </w:rPr>
        <w:fldChar w:fldCharType="end"/>
      </w:r>
      <w:r>
        <w:rPr/>
        <w:t xml:space="preserve">, observado o disposto nos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pPr>
      <w:r>
        <w:rPr/>
        <w:t>no item exclusivo para participação de microempresas e empresas de pequeno porte, a assinalação do campo “não” impedirá o prosseguimento no certame, para aquele item;</w:t>
      </w:r>
    </w:p>
    <w:p>
      <w:pPr>
        <w:pStyle w:val="Nivel3"/>
        <w:numPr>
          <w:ilvl w:val="0"/>
          <w:numId w:val="0"/>
        </w:numPr>
        <w:ind w:hanging="0"/>
        <w:rPr>
          <w:b/>
          <w:b/>
          <w:bCs/>
        </w:rPr>
      </w:pPr>
      <w:r>
        <w:rPr/>
      </w:r>
    </w:p>
    <w:p>
      <w:pPr>
        <w:pStyle w:val="Nivel2"/>
        <w:numPr>
          <w:ilvl w:val="1"/>
          <w:numId w:val="1"/>
        </w:numPr>
        <w:ind w:left="0" w:hanging="0"/>
        <w:rPr/>
      </w:pPr>
      <w:r>
        <w:rPr/>
        <w:t xml:space="preserve">A falsidade da declaração de que trata os itens </w:t>
      </w:r>
      <w:r>
        <w:rPr/>
        <w:fldChar w:fldCharType="begin"/>
      </w:r>
      <w:r>
        <w:rPr/>
        <w:instrText xml:space="preserve"> REF _Ref113968921 \r \h </w:instrText>
      </w:r>
      <w:r>
        <w:rPr/>
        <w:fldChar w:fldCharType="separate"/>
      </w:r>
      <w:r>
        <w:rPr/>
        <w:t>3.3</w:t>
      </w:r>
      <w:r>
        <w:rPr/>
        <w:fldChar w:fldCharType="end"/>
      </w:r>
      <w:r>
        <w:rPr/>
        <w:t xml:space="preserve"> ou </w:t>
      </w:r>
      <w:r>
        <w:rPr/>
        <w:fldChar w:fldCharType="begin"/>
      </w:r>
      <w:r>
        <w:rPr/>
        <w:instrText xml:space="preserve"> REF _Ref117000019 \r \h </w:instrText>
      </w:r>
      <w:r>
        <w:rPr/>
        <w:fldChar w:fldCharType="separate"/>
      </w:r>
      <w:r>
        <w:rPr/>
        <w:t>3.5</w:t>
      </w:r>
      <w:r>
        <w:rPr/>
        <w:fldChar w:fldCharType="end"/>
      </w:r>
      <w:r>
        <w:rPr/>
        <w:t xml:space="preserve"> sujeitará o licitante às sanções previstas na </w:t>
      </w:r>
      <w:hyperlink r:id="rId8">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6" w:name="_Ref116992247"/>
      <w:r>
        <w:rPr/>
        <w:t>Desde que disponibilizada a funcionalidade no sistema, o licitante poderá parametrizar o seu valor final mínimo ou o seu percentual de desconto máximo quando do cadastramento da proposta e obedecerá às seguintes regras:</w:t>
      </w:r>
      <w:bookmarkEnd w:id="26"/>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r>
        <w:rPr/>
        <w:t>os lances serão de envio automático pelo sistema, respeitado o valor final mínimo, caso estabelecido, e o intervalo de que trata o subitem acima.</w:t>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3.10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7" w:name="__RefHeading___Toc2415_4057462178"/>
      <w:bookmarkStart w:id="28" w:name="_Toc135469227"/>
      <w:bookmarkEnd w:id="27"/>
      <w:r>
        <w:rPr/>
        <w:t>DO PREENCHIMENTO DA PROPOSTA</w:t>
      </w:r>
      <w:bookmarkEnd w:id="28"/>
    </w:p>
    <w:p>
      <w:pPr>
        <w:pStyle w:val="Nivel2"/>
        <w:numPr>
          <w:ilvl w:val="1"/>
          <w:numId w:val="1"/>
        </w:numPr>
        <w:ind w:left="0" w:hanging="0"/>
        <w:rPr>
          <w:rFonts w:eastAsia="Times New Roman"/>
        </w:rPr>
      </w:pPr>
      <w:r>
        <w:rPr/>
        <w:t>O licitante deverá enviar sua proposta mediante o preenchimento, no sistema eletrônico, dos seg</w:t>
      </w:r>
      <w:r>
        <w:rPr>
          <w:i w:val="false"/>
          <w:iCs w:val="false"/>
          <w:color w:val="auto"/>
        </w:rPr>
        <w:t>uintes campos:</w:t>
      </w:r>
    </w:p>
    <w:p>
      <w:pPr>
        <w:pStyle w:val="Nvel3R"/>
        <w:numPr>
          <w:ilvl w:val="2"/>
          <w:numId w:val="1"/>
        </w:numPr>
        <w:ind w:left="284" w:hanging="0"/>
        <w:rPr>
          <w:i w:val="false"/>
          <w:i w:val="false"/>
          <w:iCs w:val="false"/>
          <w:color w:val="auto"/>
        </w:rPr>
      </w:pPr>
      <w:r>
        <w:rPr>
          <w:rFonts w:eastAsia="Arial" w:cs="Arial"/>
          <w:b w:val="false"/>
          <w:i w:val="false"/>
          <w:iCs w:val="false"/>
          <w:caps w:val="false"/>
          <w:smallCaps w:val="false"/>
          <w:strike w:val="false"/>
          <w:dstrike w:val="false"/>
          <w:color w:val="auto"/>
          <w:position w:val="0"/>
          <w:sz w:val="20"/>
          <w:sz w:val="20"/>
          <w:szCs w:val="20"/>
          <w:u w:val="none"/>
          <w:vertAlign w:val="baseline"/>
        </w:rPr>
        <w:t xml:space="preserve">valor </w:t>
      </w:r>
      <w:r>
        <w:rPr>
          <w:rFonts w:eastAsia="Arial" w:cs="Arial"/>
          <w:i w:val="false"/>
          <w:iCs w:val="false"/>
          <w:color w:val="auto"/>
          <w:sz w:val="20"/>
          <w:szCs w:val="20"/>
        </w:rPr>
        <w:t>unitário e valor total do grupo único</w:t>
      </w:r>
      <w:r>
        <w:rPr>
          <w:i w:val="false"/>
          <w:iCs w:val="false"/>
          <w:color w:val="auto"/>
        </w:rPr>
        <w:t>;</w:t>
      </w:r>
    </w:p>
    <w:p>
      <w:pPr>
        <w:pStyle w:val="Nivel3"/>
        <w:numPr>
          <w:ilvl w:val="2"/>
          <w:numId w:val="1"/>
        </w:numPr>
        <w:ind w:left="284" w:hanging="0"/>
        <w:rPr>
          <w:i w:val="false"/>
          <w:i w:val="false"/>
          <w:iCs w:val="false"/>
          <w:color w:val="auto"/>
        </w:rPr>
      </w:pPr>
      <w:r>
        <w:rPr>
          <w:rFonts w:eastAsia="Arial" w:cs="Arial"/>
          <w:b w:val="false"/>
          <w:i w:val="false"/>
          <w:iCs w:val="false"/>
          <w:caps w:val="false"/>
          <w:smallCaps w:val="false"/>
          <w:strike w:val="false"/>
          <w:dstrike w:val="false"/>
          <w:color w:val="000000"/>
          <w:position w:val="0"/>
          <w:sz w:val="20"/>
          <w:sz w:val="20"/>
          <w:szCs w:val="20"/>
          <w:u w:val="none"/>
          <w:shd w:fill="auto" w:val="clear"/>
          <w:vertAlign w:val="baseline"/>
        </w:rPr>
        <w:t>Descrição do objeto, contendo as informações similares à especificação do Termo de Referência</w:t>
      </w:r>
      <w:r>
        <w:rPr>
          <w:i w:val="false"/>
          <w:iCs w:val="false"/>
          <w:color w:val="auto"/>
        </w:rPr>
        <w:t>;</w:t>
      </w:r>
    </w:p>
    <w:p>
      <w:pPr>
        <w:pStyle w:val="Nivel3"/>
        <w:numPr>
          <w:ilvl w:val="0"/>
          <w:numId w:val="0"/>
        </w:numPr>
        <w:ind w:left="0" w:hanging="0"/>
        <w:rPr>
          <w:color w:val="auto"/>
        </w:rPr>
      </w:pPr>
      <w:r>
        <w:rPr>
          <w:rStyle w:val="Eop"/>
          <w:color w:val="0078D4"/>
          <w:shd w:fill="FFFFFF" w:val="clear"/>
        </w:rPr>
        <w:t> </w:t>
      </w:r>
    </w:p>
    <w:p>
      <w:pPr>
        <w:pStyle w:val="Nivel2"/>
        <w:numPr>
          <w:ilvl w:val="1"/>
          <w:numId w:val="1"/>
        </w:numPr>
        <w:ind w:left="0" w:hanging="0"/>
        <w:rPr/>
      </w:pPr>
      <w:r>
        <w:rPr/>
        <w:t>Todas as especificações do objeto contidas na proposta vinculam o licitante.</w:t>
      </w:r>
    </w:p>
    <w:p>
      <w:pPr>
        <w:pStyle w:val="Nivel2"/>
        <w:numPr>
          <w:ilvl w:val="1"/>
          <w:numId w:val="1"/>
        </w:numPr>
        <w:ind w:lef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1"/>
          <w:numId w:val="1"/>
        </w:numPr>
        <w:ind w:left="0" w:hanging="0"/>
        <w:rPr>
          <w:i w:val="false"/>
          <w:i w:val="false"/>
          <w:iCs w:val="false"/>
          <w:color w:val="auto"/>
          <w:highlight w:val="none"/>
          <w:shd w:fill="auto" w:val="clear"/>
        </w:rPr>
      </w:pPr>
      <w:r>
        <w:rPr>
          <w:i w:val="false"/>
          <w:iCs w:val="false"/>
          <w:color w:val="000000"/>
          <w:shd w:fill="auto" w:val="clear"/>
        </w:rPr>
        <w:t>Na presente licitação, a Microempresa e a Empresa de Pequeno Porte poderão se beneficiar do regime de tributação pelo Simples Nacional.</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r>
        <w:rPr/>
        <w:t>O prazo de validade da proposta não será inf</w:t>
      </w:r>
      <w:r>
        <w:rPr>
          <w:color w:val="auto"/>
        </w:rPr>
        <w:t xml:space="preserve">erior a </w:t>
      </w:r>
      <w:r>
        <w:rPr>
          <w:b/>
          <w:bCs/>
          <w:color w:val="auto"/>
        </w:rPr>
        <w:t>60 (sessenta)</w:t>
      </w:r>
      <w:r>
        <w:rPr>
          <w:color w:val="auto"/>
        </w:rPr>
        <w:t xml:space="preserve"> </w:t>
      </w:r>
      <w:r>
        <w:rPr>
          <w:color w:val="auto"/>
        </w:rPr>
        <w:t>dia</w:t>
      </w:r>
      <w:r>
        <w:rPr/>
        <w:t>s</w:t>
      </w:r>
      <w:r>
        <w:rPr>
          <w:b/>
        </w:rPr>
        <w:t>,</w:t>
      </w:r>
      <w:r>
        <w:rPr/>
        <w:t xml:space="preserve"> a contar da data de sua apresentação.</w:t>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0"/>
          <w:numId w:val="0"/>
        </w:numPr>
        <w:ind w:hanging="0"/>
        <w:rPr>
          <w:b/>
          <w:b/>
          <w:bCs/>
        </w:rPr>
      </w:pPr>
      <w:r>
        <w:rPr/>
      </w:r>
    </w:p>
    <w:p>
      <w:pPr>
        <w:pStyle w:val="Nivel2"/>
        <w:numPr>
          <w:ilvl w:val="1"/>
          <w:numId w:val="1"/>
        </w:numPr>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9">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2"/>
        <w:numPr>
          <w:ilvl w:val="0"/>
          <w:numId w:val="0"/>
        </w:numPr>
        <w:ind w:left="0" w:hanging="0"/>
        <w:rPr>
          <w:rFonts w:eastAsia="Times New Roman"/>
        </w:rPr>
      </w:pPr>
      <w:r>
        <w:rPr/>
      </w:r>
    </w:p>
    <w:p>
      <w:pPr>
        <w:pStyle w:val="Nivel01"/>
        <w:numPr>
          <w:ilvl w:val="0"/>
          <w:numId w:val="1"/>
        </w:numPr>
        <w:rPr/>
      </w:pPr>
      <w:bookmarkStart w:id="29" w:name="__RefHeading___Toc2417_4057462178"/>
      <w:bookmarkStart w:id="30" w:name="_Toc135469228"/>
      <w:bookmarkEnd w:id="29"/>
      <w:r>
        <w:rPr/>
        <w:t>DA ABERTURA DA SESSÃO, CLASSIFICAÇÃO DAS PROPOSTAS E FORMULAÇÃO DE LANCES</w:t>
      </w:r>
      <w:bookmarkEnd w:id="30"/>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O lance deverá ser ofertado pelo valor unitário do item</w:t>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O licitante somente poderá</w:t>
      </w:r>
      <w:r>
        <w:rPr>
          <w:i w:val="false"/>
          <w:iCs w:val="false"/>
          <w:color w:val="auto"/>
        </w:rPr>
        <w:t xml:space="preserve"> oferecer lance </w:t>
      </w:r>
      <w:r>
        <w:rPr>
          <w:i w:val="false"/>
          <w:iCs w:val="false"/>
          <w:color w:val="auto"/>
        </w:rPr>
        <w:t xml:space="preserve">de valor inferior ou percentual de desconto superior </w:t>
      </w:r>
      <w:r>
        <w:rPr>
          <w:i w:val="false"/>
          <w:iCs w:val="false"/>
          <w:color w:val="auto"/>
        </w:rPr>
        <w:t xml:space="preserve">ao último por ele ofertado e registrado pelo sistema. </w:t>
      </w:r>
    </w:p>
    <w:p>
      <w:pPr>
        <w:pStyle w:val="Nivel2"/>
        <w:numPr>
          <w:ilvl w:val="1"/>
          <w:numId w:val="1"/>
        </w:numPr>
        <w:ind w:left="0" w:hanging="0"/>
        <w:rPr>
          <w:i w:val="false"/>
          <w:i w:val="false"/>
          <w:iCs w:val="false"/>
          <w:color w:val="auto"/>
        </w:rPr>
      </w:pPr>
      <w:r>
        <w:rPr>
          <w:i w:val="false"/>
          <w:iCs w:val="false"/>
          <w:color w:val="auto"/>
        </w:rPr>
        <w:t xml:space="preserve">O intervalo mínimo de diferença de valores ou percentuais entre os lances, que incidirá tanto em relação aos lances intermediários quanto em relação à proposta que cobrir a melhor oferta deverá ser </w:t>
      </w:r>
      <w:r>
        <w:rPr>
          <w:i w:val="false"/>
          <w:iCs w:val="false"/>
          <w:color w:val="auto"/>
        </w:rPr>
        <w:t>de R$ 0,05 (cinco centavos de Real)</w:t>
      </w:r>
      <w:r>
        <w:rPr>
          <w:i w:val="false"/>
          <w:iCs w:val="false"/>
          <w:color w:val="auto"/>
        </w:rPr>
        <w:t>.</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r>
        <w:rPr/>
        <w:t>O procedimento seguirá de acordo com o modo de disputa adotado.</w:t>
      </w:r>
    </w:p>
    <w:p>
      <w:pPr>
        <w:pStyle w:val="Nivel2"/>
        <w:numPr>
          <w:ilvl w:val="1"/>
          <w:numId w:val="1"/>
        </w:numPr>
        <w:ind w:left="0" w:hanging="0"/>
        <w:rPr/>
      </w:pPr>
      <w:bookmarkStart w:id="31" w:name="_Hlk113697759"/>
      <w:bookmarkEnd w:id="31"/>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32" w:name="_Hlk1136977591"/>
      <w:bookmarkEnd w:id="32"/>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33" w:name="_Hlk113697816"/>
      <w:r>
        <w:rPr/>
        <w:t>Após o reinício previsto no item supra, os licitantes serão convocados para apresentar lances intermediários.</w:t>
      </w:r>
      <w:bookmarkStart w:id="34" w:name="_Hlk113631522"/>
      <w:bookmarkEnd w:id="33"/>
      <w:bookmarkEnd w:id="34"/>
    </w:p>
    <w:p>
      <w:pPr>
        <w:pStyle w:val="Nivel2"/>
        <w:numPr>
          <w:ilvl w:val="0"/>
          <w:numId w:val="0"/>
        </w:numPr>
        <w:ind w:left="0" w:hanging="0"/>
        <w:rPr>
          <w:strike/>
        </w:rPr>
      </w:pPr>
      <w:r>
        <w:rPr/>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r>
        <w:rPr/>
        <w:t>O pregoeiro solicitará ao licitante mais bem class</w:t>
      </w:r>
      <w:r>
        <w:rPr>
          <w:color w:val="auto"/>
        </w:rPr>
        <w:t xml:space="preserve">ificado que, no prazo de </w:t>
      </w:r>
      <w:r>
        <w:rPr>
          <w:color w:val="auto"/>
        </w:rPr>
        <w:t>2 (duas) horas</w:t>
      </w:r>
      <w:r>
        <w:rPr>
          <w:color w:val="auto"/>
        </w:rPr>
        <w:t>, envie a proposta adequada ao último lance ofertado após a negociação realizada, acompanhada, se for o caso, dos documentos complementares, quando necessários à confirmação</w:t>
      </w:r>
      <w:r>
        <w:rPr/>
        <w:t xml:space="preserve"> daqueles exigidos neste Edital e já apresentados.</w:t>
      </w:r>
      <w:bookmarkStart w:id="35" w:name="_Hlk117016948"/>
      <w:bookmarkEnd w:id="35"/>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6" w:name="_Hlk114646655"/>
      <w:r>
        <w:rPr/>
        <w:t>Após a negociação do preço, o Pregoeiro iniciará a fase de aceitação e julgamento da proposta.</w:t>
      </w:r>
      <w:bookmarkEnd w:id="36"/>
    </w:p>
    <w:p>
      <w:pPr>
        <w:pStyle w:val="Nivel01"/>
        <w:numPr>
          <w:ilvl w:val="0"/>
          <w:numId w:val="1"/>
        </w:numPr>
        <w:rPr/>
      </w:pPr>
      <w:bookmarkStart w:id="37" w:name="__RefHeading___Toc2419_4057462178"/>
      <w:bookmarkStart w:id="38" w:name="_Toc135469229"/>
      <w:bookmarkEnd w:id="37"/>
      <w:r>
        <w:rPr/>
        <w:t>DA FASE DE JULGAMENTO</w:t>
      </w:r>
      <w:bookmarkEnd w:id="38"/>
    </w:p>
    <w:p>
      <w:pPr>
        <w:pStyle w:val="Nivel2"/>
        <w:numPr>
          <w:ilvl w:val="1"/>
          <w:numId w:val="1"/>
        </w:numPr>
        <w:ind w:left="0" w:hanging="0"/>
        <w:rPr>
          <w:b/>
          <w:b/>
          <w:bCs/>
          <w:lang w:eastAsia="ar-SA"/>
        </w:rPr>
      </w:pPr>
      <w:bookmarkStart w:id="39"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xml:space="preserve">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xml:space="preserve"> REF _Ref117000692 \r \h </w:instrText>
      </w:r>
      <w:r>
        <w:rPr/>
        <w:fldChar w:fldCharType="separate"/>
      </w:r>
      <w:r>
        <w:rPr/>
        <w:t>2.7</w:t>
      </w:r>
      <w:r>
        <w:rPr/>
        <w:fldChar w:fldCharType="end"/>
      </w:r>
      <w:r>
        <w:rPr/>
        <w:t xml:space="preserve"> do edital, </w:t>
      </w:r>
      <w:bookmarkEnd w:id="39"/>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0">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1">
        <w:r>
          <w:rPr>
            <w:rStyle w:val="LinkdaInternet"/>
            <w:lang w:eastAsia="ar-SA"/>
          </w:rPr>
          <w:t>https://www.portaltransparencia.gov.br/sancoes/cnep</w:t>
        </w:r>
      </w:hyperlink>
      <w:r>
        <w:rPr>
          <w:lang w:eastAsia="ar-SA"/>
        </w:rPr>
        <w:t>).</w:t>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xml:space="preserve">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xml:space="preserve">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2">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3">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0"/>
          <w:numId w:val="0"/>
        </w:numPr>
        <w:ind w:left="0" w:hanging="0"/>
        <w:rPr>
          <w:highlight w:val="yellow"/>
        </w:rPr>
      </w:pPr>
      <w:r>
        <w:rPr/>
      </w:r>
      <w:bookmarkStart w:id="40" w:name="_Hlk135317550"/>
      <w:bookmarkStart w:id="41" w:name="_Hlk135317550"/>
      <w:bookmarkEnd w:id="41"/>
    </w:p>
    <w:p>
      <w:pPr>
        <w:pStyle w:val="Nivel2"/>
        <w:numPr>
          <w:ilvl w:val="1"/>
          <w:numId w:val="1"/>
        </w:numPr>
        <w:ind w:left="0" w:hanging="0"/>
        <w:rPr/>
      </w:pPr>
      <w:r>
        <w:rPr>
          <w:strike w:val="false"/>
          <w:dstrike w:val="false"/>
        </w:rPr>
        <w:t xml:space="preserve">Caso o licitante provisoriamente classificado em primeiro lugar tenha se utilizado de algum tratamento favorecido às ME/EPPs, o pregoeiro verificará se faz jus ao benefício, em conformidade com os itens </w:t>
      </w:r>
      <w:r>
        <w:rPr>
          <w:strike w:val="false"/>
          <w:dstrike w:val="false"/>
        </w:rPr>
        <w:fldChar w:fldCharType="begin"/>
      </w:r>
      <w:r>
        <w:rPr>
          <w:dstrike w:val="false"/>
          <w:strike w:val="false"/>
        </w:rPr>
        <w:instrText xml:space="preserve"> REF _Ref117015508 \r \h </w:instrText>
      </w:r>
      <w:r>
        <w:rPr>
          <w:dstrike w:val="false"/>
          <w:strike w:val="false"/>
        </w:rPr>
        <w:fldChar w:fldCharType="separate"/>
      </w:r>
      <w:r>
        <w:rPr>
          <w:dstrike w:val="false"/>
          <w:strike w:val="false"/>
        </w:rPr>
        <w:t>2.5.1</w:t>
      </w:r>
      <w:r>
        <w:rPr>
          <w:dstrike w:val="false"/>
          <w:strike w:val="false"/>
        </w:rPr>
        <w:fldChar w:fldCharType="end"/>
      </w:r>
      <w:r>
        <w:rPr>
          <w:strike w:val="false"/>
          <w:dstrike w:val="false"/>
        </w:rPr>
        <w:t xml:space="preserve"> e </w:t>
      </w:r>
      <w:r>
        <w:rPr>
          <w:strike w:val="false"/>
          <w:dstrike w:val="false"/>
        </w:rPr>
        <w:fldChar w:fldCharType="begin"/>
      </w:r>
      <w:r>
        <w:rPr>
          <w:dstrike w:val="false"/>
          <w:strike w:val="false"/>
        </w:rPr>
        <w:instrText xml:space="preserve"> REF _Ref117000019 \r \h </w:instrText>
      </w:r>
      <w:r>
        <w:rPr>
          <w:dstrike w:val="false"/>
          <w:strike w:val="false"/>
        </w:rPr>
        <w:fldChar w:fldCharType="separate"/>
      </w:r>
      <w:r>
        <w:rPr>
          <w:dstrike w:val="false"/>
          <w:strike w:val="false"/>
        </w:rPr>
        <w:t>3.5</w:t>
      </w:r>
      <w:r>
        <w:rPr>
          <w:dstrike w:val="false"/>
          <w:strike w:val="false"/>
        </w:rPr>
        <w:fldChar w:fldCharType="end"/>
      </w:r>
      <w:r>
        <w:rPr>
          <w:strike w:val="false"/>
          <w:dstrike w:val="false"/>
        </w:rPr>
        <w:t xml:space="preserve"> deste edital.</w:t>
      </w:r>
    </w:p>
    <w:p>
      <w:pPr>
        <w:pStyle w:val="Nivel2"/>
        <w:numPr>
          <w:ilvl w:val="1"/>
          <w:numId w:val="1"/>
        </w:numPr>
        <w:ind w:left="0" w:hanging="0"/>
        <w:rPr>
          <w:b/>
          <w:b/>
        </w:rPr>
      </w:pPr>
      <w:r>
        <w:rPr>
          <w:strike w:val="false"/>
          <w:dstrike w:val="false"/>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dstrike w:val="false"/>
          <w:strike w:val="false"/>
        </w:rPr>
        <w:instrText xml:space="preserve"> HYPERLINK "https://www.gov.br/compras/pt-br/acesso-a-informacao/legislacao/instrucoes-normativas/instrucao-normativa-seges-me-no-73-de-30-de-setembro-de-2022" \l "art29"</w:instrText>
      </w:r>
      <w:r>
        <w:rPr>
          <w:rStyle w:val="LinkdaInternet"/>
          <w:dstrike w:val="false"/>
          <w:strike w:val="false"/>
        </w:rPr>
        <w:fldChar w:fldCharType="separate"/>
      </w:r>
      <w:r>
        <w:rPr>
          <w:rStyle w:val="LinkdaInternet"/>
          <w:strike w:val="false"/>
          <w:dstrike w:val="false"/>
        </w:rPr>
        <w:t>artigo 29 a 35 da IN SEGES nº 73, de 30 de setembro de 2022</w:t>
      </w:r>
      <w:r>
        <w:rPr>
          <w:rStyle w:val="LinkdaInternet"/>
          <w:dstrike w:val="false"/>
          <w:strike w:val="false"/>
        </w:rPr>
        <w:fldChar w:fldCharType="end"/>
      </w:r>
      <w:r>
        <w:rPr>
          <w:strike w:val="false"/>
          <w:dstrike w:val="false"/>
        </w:rPr>
        <w:t>.</w:t>
      </w:r>
    </w:p>
    <w:p>
      <w:pPr>
        <w:pStyle w:val="Nivel2"/>
        <w:numPr>
          <w:ilvl w:val="0"/>
          <w:numId w:val="0"/>
        </w:numPr>
        <w:ind w:left="0" w:hanging="0"/>
        <w:rPr>
          <w:highlight w:val="yellow"/>
        </w:rPr>
      </w:pPr>
      <w:r>
        <w:rPr/>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0"/>
          <w:numId w:val="0"/>
        </w:numPr>
        <w:ind w:left="0" w:hanging="0"/>
        <w:rPr>
          <w:b/>
          <w:b/>
          <w:bCs/>
        </w:rPr>
      </w:pPr>
      <w:r>
        <w:rPr/>
      </w:r>
      <w:bookmarkStart w:id="42" w:name="_Hlk135304834"/>
      <w:bookmarkStart w:id="43" w:name="_Hlk135304834"/>
      <w:bookmarkEnd w:id="43"/>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highlight w:val="none"/>
          <w:shd w:fill="auto" w:val="clear"/>
        </w:rPr>
      </w:pPr>
      <w:r>
        <w:rPr>
          <w:shd w:fill="auto" w:val="clear"/>
          <w:lang w:eastAsia="en-US"/>
        </w:rPr>
        <w:t xml:space="preserve">Para </w:t>
      </w:r>
      <w:r>
        <w:rPr>
          <w:shd w:fill="auto" w:val="clear"/>
        </w:rPr>
        <w:t>fins</w:t>
      </w:r>
      <w:r>
        <w:rPr>
          <w:shd w:fill="auto" w:val="clear"/>
          <w:lang w:eastAsia="en-US"/>
        </w:rPr>
        <w:t xml:space="preserve"> de análise da proposta quanto ao cumprimento </w:t>
      </w:r>
      <w:r>
        <w:rPr>
          <w:shd w:fill="auto" w:val="clear"/>
        </w:rPr>
        <w:t>das</w:t>
      </w:r>
      <w:r>
        <w:rPr>
          <w:shd w:fill="auto" w:val="clear"/>
          <w:lang w:eastAsia="en-US"/>
        </w:rPr>
        <w:t xml:space="preserve"> especificações do objeto, poderá ser colhida a </w:t>
      </w:r>
      <w:r>
        <w:rPr>
          <w:shd w:fill="auto" w:val="clear"/>
        </w:rPr>
        <w:t>manifestação</w:t>
      </w:r>
      <w:r>
        <w:rPr>
          <w:shd w:fill="auto" w:val="clear"/>
          <w:lang w:eastAsia="en-US"/>
        </w:rPr>
        <w:t xml:space="preserve"> escrita do setor requisitante do serviço ou da área especializada no objeto.</w:t>
      </w:r>
    </w:p>
    <w:p>
      <w:pPr>
        <w:pStyle w:val="Nivel2"/>
        <w:numPr>
          <w:ilvl w:val="0"/>
          <w:numId w:val="0"/>
        </w:numPr>
        <w:ind w:left="0" w:hanging="0"/>
        <w:rPr>
          <w:b/>
          <w:b/>
          <w:bCs/>
          <w:strike w:val="false"/>
          <w:dstrike w:val="false"/>
        </w:rPr>
      </w:pPr>
      <w:r>
        <w:rPr/>
      </w:r>
    </w:p>
    <w:p>
      <w:pPr>
        <w:pStyle w:val="Nivel01"/>
        <w:numPr>
          <w:ilvl w:val="0"/>
          <w:numId w:val="1"/>
        </w:numPr>
        <w:rPr/>
      </w:pPr>
      <w:bookmarkStart w:id="44" w:name="__RefHeading___Toc2421_4057462178"/>
      <w:bookmarkStart w:id="45" w:name="_Toc135469230"/>
      <w:bookmarkEnd w:id="44"/>
      <w:r>
        <w:rPr/>
        <w:t>DA FASE DE HABILITAÇÃO</w:t>
      </w:r>
      <w:bookmarkEnd w:id="45"/>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xml:space="preserve">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46"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6"/>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4">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i/>
          <w:i/>
          <w:iCs/>
        </w:rPr>
      </w:pPr>
      <w:r>
        <w:rPr>
          <w:color w:val="auto"/>
        </w:rPr>
        <w:t xml:space="preserve">Se o consórcio não for formado integralmente por microempresas ou empresas de pequeno porte e o termo de referência exigir requisitos de habilitação econômico-financeira, haverá um acréscimo de </w:t>
      </w:r>
      <w:r>
        <w:rPr>
          <w:color w:val="auto"/>
        </w:rPr>
        <w:t>15 % (quinze por cento)</w:t>
      </w:r>
      <w:r>
        <w:rPr>
          <w:color w:val="auto"/>
        </w:rPr>
        <w:t xml:space="preserve"> </w:t>
      </w:r>
      <w:r>
        <w:rPr>
          <w:color w:val="auto"/>
        </w:rPr>
        <w:t>para o consórcio em relação ao valor exigido para os licitantes individuais.</w:t>
      </w:r>
    </w:p>
    <w:p>
      <w:pPr>
        <w:pStyle w:val="Nivel2"/>
        <w:numPr>
          <w:ilvl w:val="1"/>
          <w:numId w:val="1"/>
        </w:numPr>
        <w:ind w:left="0" w:hanging="0"/>
        <w:rPr/>
      </w:pPr>
      <w:r>
        <w:rPr/>
        <w:t>Os documentos exigidos para fins de habilitação poderão ser apresentados em original, por cópia.</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xml:space="preserve">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hanging="0"/>
        <w:rPr>
          <w:i w:val="false"/>
          <w:i w:val="false"/>
          <w:iCs w:val="false"/>
          <w:color w:val="auto"/>
        </w:rPr>
      </w:pPr>
      <w:r>
        <w:rPr>
          <w:i w:val="false"/>
          <w:iCs w:val="false"/>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ind w:left="284" w:hanging="0"/>
        <w:rPr>
          <w:i w:val="false"/>
          <w:i w:val="false"/>
          <w:iCs w:val="false"/>
          <w:color w:val="auto"/>
        </w:rPr>
      </w:pPr>
      <w:r>
        <w:rPr>
          <w:i w:val="false"/>
          <w:iCs w:val="false"/>
          <w:color w:val="auto"/>
        </w:rPr>
        <w:t>O licitante que optar por realizar vistoria prévia terá disponibilizado pela Administração data e horário exclusivos, a ser agendado através do seguinte endereço de e-mail “producao.agropecuaria@ibiruba.ifrs.edu.br”, de modo que seu agendamento não coincida com o agendamento de outros licitantes.</w:t>
      </w:r>
    </w:p>
    <w:p>
      <w:pPr>
        <w:pStyle w:val="Nvel3R"/>
        <w:numPr>
          <w:ilvl w:val="2"/>
          <w:numId w:val="1"/>
        </w:numPr>
        <w:ind w:left="284" w:hanging="0"/>
        <w:rPr>
          <w:i w:val="false"/>
          <w:i w:val="false"/>
          <w:iCs w:val="false"/>
          <w:color w:val="auto"/>
          <w:highlight w:val="none"/>
          <w:shd w:fill="auto" w:val="clear"/>
        </w:rPr>
      </w:pPr>
      <w:r>
        <w:rPr>
          <w:i w:val="false"/>
          <w:iCs w:val="false"/>
          <w:color w:val="000000"/>
          <w:shd w:fill="auto" w:val="clear"/>
        </w:rPr>
        <w:t>Caso o licitante opte por não realizar vistoria, poderá substituir a declaração exigida no presente item por declaração formal assinada pelo seu responsável técnico acerca do conhecimento pleno das condições e peculiaridades da contratação.</w:t>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xml:space="preserve">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5">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16">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i/>
          <w:iCs/>
        </w:rPr>
      </w:pPr>
      <w:bookmarkStart w:id="47" w:name="_Ref114663151"/>
      <w:r>
        <w:rPr/>
        <w:t>Os documentos exigidos para habilitação que não estejam contemplados no Sicaf serão enviados por meio do sistema, em formato digital, no p</w:t>
      </w:r>
      <w:r>
        <w:rPr>
          <w:color w:val="auto"/>
        </w:rPr>
        <w:t xml:space="preserve">razo de </w:t>
      </w:r>
      <w:r>
        <w:rPr>
          <w:color w:val="auto"/>
        </w:rPr>
        <w:t>02 (duas) horas</w:t>
      </w:r>
      <w:r>
        <w:rPr>
          <w:color w:val="auto"/>
        </w:rPr>
        <w:t>, pro</w:t>
      </w:r>
      <w:r>
        <w:rPr/>
        <w:t>rrogável por igual período, contado da solicitação do pregoeiro.</w:t>
      </w:r>
      <w:bookmarkEnd w:id="47"/>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7">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0"/>
          <w:numId w:val="0"/>
        </w:numPr>
        <w:ind w:left="0" w:hanging="0"/>
        <w:rPr>
          <w:i/>
          <w:i/>
        </w:rPr>
      </w:pPr>
      <w:r>
        <w:rPr/>
      </w:r>
      <w:bookmarkStart w:id="48" w:name="_Ref114670319"/>
      <w:bookmarkStart w:id="49" w:name="_Ref114670319"/>
      <w:bookmarkEnd w:id="49"/>
    </w:p>
    <w:p>
      <w:pPr>
        <w:pStyle w:val="Nivel2"/>
        <w:numPr>
          <w:ilvl w:val="1"/>
          <w:numId w:val="1"/>
        </w:numPr>
        <w:ind w:left="0" w:hanging="0"/>
        <w:rPr/>
      </w:pPr>
      <w:bookmarkStart w:id="50"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7.13.1</w:t>
      </w:r>
      <w:r>
        <w:rPr/>
        <w:fldChar w:fldCharType="end"/>
      </w:r>
      <w:r>
        <w:rPr/>
        <w:t>.</w:t>
      </w:r>
      <w:bookmarkEnd w:id="50"/>
    </w:p>
    <w:p>
      <w:pPr>
        <w:pStyle w:val="Nivel2"/>
        <w:numPr>
          <w:ilvl w:val="1"/>
          <w:numId w:val="1"/>
        </w:numPr>
        <w:ind w:left="0" w:hanging="0"/>
        <w:rPr/>
      </w:pPr>
      <w:bookmarkStart w:id="51" w:name="_Ref114665515"/>
      <w:r>
        <w:rPr/>
        <w:t>Somente serão disponibilizados para acesso público os documentos de habilitação do licitante cuja proposta atenda ao edital de licitação, após concluídos os procedimentos de que trata o subitem anterior</w:t>
      </w:r>
      <w:bookmarkEnd w:id="51"/>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xml:space="preserve">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0"/>
          <w:numId w:val="0"/>
        </w:numPr>
        <w:ind w:left="0" w:hanging="0"/>
        <w:rPr/>
      </w:pPr>
      <w:r>
        <w:rPr/>
      </w:r>
    </w:p>
    <w:p>
      <w:pPr>
        <w:pStyle w:val="Nivel01"/>
        <w:numPr>
          <w:ilvl w:val="0"/>
          <w:numId w:val="1"/>
        </w:numPr>
        <w:rPr/>
      </w:pPr>
      <w:bookmarkStart w:id="52" w:name="__RefHeading___Toc2423_4057462178"/>
      <w:bookmarkStart w:id="53" w:name="_Toc135469233"/>
      <w:bookmarkStart w:id="54" w:name="_Toc135469231"/>
      <w:bookmarkStart w:id="55" w:name="_Toc135469232"/>
      <w:bookmarkEnd w:id="52"/>
      <w:bookmarkEnd w:id="54"/>
      <w:bookmarkEnd w:id="55"/>
      <w:r>
        <w:rPr/>
        <w:t>DOS RECURSOS</w:t>
      </w:r>
      <w:bookmarkEnd w:id="53"/>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highlight w:val="none"/>
          <w:shd w:fill="auto" w:val="clear"/>
        </w:rPr>
      </w:pPr>
      <w:bookmarkStart w:id="56" w:name="_Hlk135318381"/>
      <w:bookmarkStart w:id="57" w:name="_Hlk135315794"/>
      <w:r>
        <w:rPr>
          <w:shd w:fill="auto" w:val="clear"/>
        </w:rPr>
        <w:t>o prazo para a manifestação da intenção de recorrer não será inferior a 10 (dez) minutos.</w:t>
      </w:r>
      <w:bookmarkEnd w:id="56"/>
      <w:bookmarkEnd w:id="57"/>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0"/>
          <w:numId w:val="0"/>
        </w:numPr>
        <w:ind w:left="284" w:hanging="0"/>
        <w:rPr>
          <w:b/>
          <w:b/>
          <w:bCs/>
          <w:strike w:val="false"/>
          <w:dstrike w:val="false"/>
        </w:rPr>
      </w:pPr>
      <w:r>
        <w:rPr/>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color w:val="auto"/>
        </w:rPr>
      </w:pPr>
      <w:r>
        <w:rPr>
          <w:color w:val="auto"/>
        </w:rPr>
        <w:t xml:space="preserve">Os autos do </w:t>
      </w:r>
      <w:r>
        <w:rPr>
          <w:rFonts w:eastAsia="ＭＳ 明朝" w:cs="Arial"/>
          <w:color w:val="auto"/>
          <w:kern w:val="0"/>
          <w:sz w:val="20"/>
          <w:szCs w:val="20"/>
          <w:lang w:val="pt-BR" w:eastAsia="pt-BR" w:bidi="ar-SA"/>
        </w:rPr>
        <w:t xml:space="preserve">processo permanecerão com vista franqueada aos interessados no sítio eletrônico  </w:t>
      </w:r>
      <w:r>
        <w:rPr>
          <w:rFonts w:eastAsia="ＭＳ 明朝" w:cs="Arial"/>
          <w:b/>
          <w:i w:val="false"/>
          <w:color w:val="auto"/>
          <w:kern w:val="0"/>
          <w:sz w:val="20"/>
          <w:szCs w:val="20"/>
          <w:lang w:val="pt-BR" w:eastAsia="pt-BR" w:bidi="ar-SA"/>
        </w:rPr>
        <w:t>https://ifrs.edu.br/ibiruba/administracao-e-planejamento/licitacoes-e-contratos/licitacoes</w:t>
      </w:r>
      <w:r>
        <w:rPr>
          <w:rFonts w:eastAsia="ＭＳ 明朝" w:cs="Arial"/>
          <w:color w:val="auto"/>
          <w:kern w:val="0"/>
          <w:sz w:val="20"/>
          <w:szCs w:val="20"/>
          <w:lang w:val="pt-BR" w:eastAsia="pt-BR" w:bidi="ar-SA"/>
        </w:rPr>
        <w:t>.</w:t>
      </w:r>
    </w:p>
    <w:p>
      <w:pPr>
        <w:pStyle w:val="Nivel01"/>
        <w:numPr>
          <w:ilvl w:val="0"/>
          <w:numId w:val="1"/>
        </w:numPr>
        <w:rPr/>
      </w:pPr>
      <w:bookmarkStart w:id="58" w:name="__RefHeading___Toc2425_4057462178"/>
      <w:bookmarkStart w:id="59" w:name="_Toc135469234"/>
      <w:bookmarkEnd w:id="58"/>
      <w:r>
        <w:rPr/>
        <w:t>DAS INFRAÇÕES ADMINISTRATIVAS E SANÇÕES</w:t>
      </w:r>
      <w:bookmarkEnd w:id="59"/>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60" w:name="_Hlk114652595"/>
      <w:bookmarkStart w:id="61" w:name="_Ref114668085"/>
      <w:r>
        <w:rPr/>
        <w:t>deixar de entregar a documentação exigida para o certame ou não entregar qualquer documento que tenha sido solicitado pelo/a pregoeiro/a durante o certame;</w:t>
      </w:r>
      <w:bookmarkEnd w:id="61"/>
    </w:p>
    <w:p>
      <w:pPr>
        <w:pStyle w:val="Nivel3"/>
        <w:numPr>
          <w:ilvl w:val="2"/>
          <w:numId w:val="1"/>
        </w:numPr>
        <w:ind w:left="284" w:hanging="0"/>
        <w:rPr/>
      </w:pPr>
      <w:bookmarkStart w:id="62" w:name="_Ref114668108"/>
      <w:r>
        <w:rPr/>
        <w:t>Salvo em decorrência de fato superveniente devidamente justificado, não mantiver a proposta em especial quando:</w:t>
      </w:r>
      <w:bookmarkEnd w:id="62"/>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63" w:name="_Ref114668139"/>
      <w:r>
        <w:rPr/>
        <w:t>não celebrar o contrato ou não entregar a documentação exigida para a contratação, quando convocado dentro do prazo de validade de sua proposta;</w:t>
      </w:r>
      <w:bookmarkEnd w:id="63"/>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64" w:name="_Ref114668249"/>
      <w:r>
        <w:rPr/>
        <w:t>apresentar declaração ou documentação falsa exigida para o certame ou prestar declaração falsa durante a licitação</w:t>
      </w:r>
      <w:bookmarkEnd w:id="64"/>
    </w:p>
    <w:p>
      <w:pPr>
        <w:pStyle w:val="Nivel3"/>
        <w:numPr>
          <w:ilvl w:val="2"/>
          <w:numId w:val="1"/>
        </w:numPr>
        <w:ind w:left="284" w:hanging="0"/>
        <w:rPr/>
      </w:pPr>
      <w:bookmarkStart w:id="65" w:name="_Ref114668245"/>
      <w:r>
        <w:rPr/>
        <w:t>fraudar a licitação</w:t>
      </w:r>
      <w:bookmarkEnd w:id="65"/>
    </w:p>
    <w:p>
      <w:pPr>
        <w:pStyle w:val="Nivel3"/>
        <w:numPr>
          <w:ilvl w:val="2"/>
          <w:numId w:val="1"/>
        </w:numPr>
        <w:ind w:left="284" w:hanging="0"/>
        <w:rPr/>
      </w:pPr>
      <w:bookmarkStart w:id="66" w:name="_Ref114668247"/>
      <w:r>
        <w:rPr/>
        <w:t>comportar-se de modo inidôneo ou cometer fraude de qualquer natureza, em especial quando:</w:t>
      </w:r>
      <w:bookmarkEnd w:id="66"/>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67" w:name="_Ref114668251"/>
      <w:r>
        <w:rPr/>
        <w:t>praticar atos ilícitos com vistas a frustrar os objetivos da licitação</w:t>
      </w:r>
      <w:bookmarkEnd w:id="67"/>
    </w:p>
    <w:p>
      <w:pPr>
        <w:pStyle w:val="Nivel3"/>
        <w:numPr>
          <w:ilvl w:val="2"/>
          <w:numId w:val="1"/>
        </w:numPr>
        <w:ind w:left="284" w:hanging="0"/>
        <w:rPr/>
      </w:pPr>
      <w:bookmarkStart w:id="68" w:name="_Ref114668252"/>
      <w:r>
        <w:rPr/>
        <w:t xml:space="preserve">praticar ato lesivo previsto no </w:t>
      </w:r>
      <w:r>
        <w:fldChar w:fldCharType="begin"/>
      </w:r>
      <w:r>
        <w:rPr>
          <w:rStyle w:val="LinkdaInternet"/>
          <w:u w:val="none"/>
          <w:color w:val="000000"/>
        </w:rPr>
        <w:instrText xml:space="preserve">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r>
        <w:rPr/>
        <w:t>.</w:t>
      </w:r>
      <w:bookmarkEnd w:id="60"/>
      <w:bookmarkEnd w:id="68"/>
    </w:p>
    <w:p>
      <w:pPr>
        <w:pStyle w:val="Nivel2"/>
        <w:numPr>
          <w:ilvl w:val="1"/>
          <w:numId w:val="1"/>
        </w:numPr>
        <w:ind w:left="0" w:hanging="0"/>
        <w:rPr/>
      </w:pPr>
      <w:r>
        <w:rPr/>
        <w:t xml:space="preserve">Com fulcro na </w:t>
      </w:r>
      <w:hyperlink r:id="rId18">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r>
        <w:rPr/>
        <w:t>A multa será recolhida em percentual de 0,5% a 30% incidente sobre o valor do contrato licitado, recolhida no prazo máxi</w:t>
      </w:r>
      <w:r>
        <w:rPr>
          <w:color w:val="auto"/>
        </w:rPr>
        <w:t xml:space="preserve">mo de </w:t>
      </w:r>
      <w:r>
        <w:rPr>
          <w:b/>
          <w:bCs/>
          <w:color w:val="auto"/>
        </w:rPr>
        <w:t>30 (trinta) dias</w:t>
      </w:r>
      <w:r>
        <w:rPr>
          <w:color w:val="auto"/>
        </w:rPr>
        <w:t xml:space="preserve"> </w:t>
      </w:r>
      <w:r>
        <w:rPr>
          <w:color w:val="auto"/>
        </w:rPr>
        <w:t xml:space="preserve">úteis, a </w:t>
      </w:r>
      <w:r>
        <w:rPr/>
        <w:t xml:space="preserve">contar da comunicação oficial. </w:t>
      </w:r>
    </w:p>
    <w:p>
      <w:pPr>
        <w:pStyle w:val="Nivel3"/>
        <w:numPr>
          <w:ilvl w:val="2"/>
          <w:numId w:val="1"/>
        </w:numPr>
        <w:ind w:left="284" w:hanging="0"/>
        <w:rPr/>
      </w:pPr>
      <w:bookmarkStart w:id="69" w:name="_Hlk113876035"/>
      <w:r>
        <w:rPr/>
        <w:t>Para as infra</w:t>
      </w:r>
      <w:r>
        <w:rPr>
          <w:color w:val="auto"/>
        </w:rPr>
        <w:t xml:space="preserve">ções previstas nos itens </w:t>
      </w:r>
      <w:r>
        <w:rPr>
          <w:color w:val="auto"/>
        </w:rPr>
        <w:fldChar w:fldCharType="begin"/>
      </w:r>
      <w:r>
        <w:rPr>
          <w:color w:val="auto"/>
        </w:rPr>
        <w:instrText xml:space="preserve"> REF _Ref114668085 \r \h </w:instrText>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fldChar w:fldCharType="separate"/>
      </w:r>
      <w:r>
        <w:rPr>
          <w:color w:val="auto"/>
        </w:rPr>
        <w:t>9.1.3</w:t>
      </w:r>
      <w:r>
        <w:rPr>
          <w:color w:val="auto"/>
        </w:rPr>
        <w:fldChar w:fldCharType="end"/>
      </w:r>
      <w:r>
        <w:rPr>
          <w:color w:val="auto"/>
        </w:rPr>
        <w:t xml:space="preserve">, a multa será de </w:t>
      </w:r>
      <w:r>
        <w:rPr>
          <w:color w:val="auto"/>
        </w:rPr>
        <w:t xml:space="preserve">0,5% </w:t>
      </w:r>
      <w:r>
        <w:rPr>
          <w:color w:val="auto"/>
        </w:rPr>
        <w:t xml:space="preserve">a </w:t>
      </w:r>
      <w:r>
        <w:rPr>
          <w:color w:val="auto"/>
        </w:rPr>
        <w:t>15%</w:t>
      </w:r>
      <w:r>
        <w:rPr>
          <w:color w:val="auto"/>
        </w:rPr>
        <w:t xml:space="preserve"> </w:t>
      </w:r>
      <w:r>
        <w:rPr>
          <w:color w:val="auto"/>
        </w:rPr>
        <w:t>do valor do contrato licitado.</w:t>
      </w:r>
      <w:bookmarkEnd w:id="69"/>
    </w:p>
    <w:p>
      <w:pPr>
        <w:pStyle w:val="Nivel3"/>
        <w:numPr>
          <w:ilvl w:val="2"/>
          <w:numId w:val="1"/>
        </w:numPr>
        <w:ind w:left="284" w:hanging="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fldChar w:fldCharType="separate"/>
      </w:r>
      <w:r>
        <w:rPr>
          <w:color w:val="auto"/>
        </w:rPr>
        <w:t>9.1.4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fldChar w:fldCharType="separate"/>
      </w:r>
      <w:r>
        <w:rPr>
          <w:color w:val="auto"/>
        </w:rPr>
        <w:t>9.1.5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fldChar w:fldCharType="separate"/>
      </w:r>
      <w:r>
        <w:rPr>
          <w:color w:val="auto"/>
        </w:rPr>
        <w:t>9.1.6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fldChar w:fldCharType="separate"/>
      </w:r>
      <w:r>
        <w:rPr>
          <w:color w:val="auto"/>
        </w:rPr>
        <w:t>9.1.7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fldChar w:fldCharType="separate"/>
      </w:r>
      <w:r>
        <w:rPr>
          <w:color w:val="auto"/>
        </w:rPr>
        <w:t>9.1.8</w:t>
      </w:r>
      <w:r>
        <w:rPr>
          <w:color w:val="auto"/>
        </w:rPr>
        <w:fldChar w:fldCharType="end"/>
      </w:r>
      <w:r>
        <w:rPr>
          <w:color w:val="auto"/>
        </w:rPr>
        <w:t xml:space="preserve">, a multa será de </w:t>
      </w:r>
      <w:r>
        <w:rPr>
          <w:color w:val="auto"/>
        </w:rPr>
        <w:t>15%</w:t>
      </w:r>
      <w:r>
        <w:rPr>
          <w:color w:val="auto"/>
        </w:rPr>
        <w:t xml:space="preserve"> </w:t>
      </w:r>
      <w:r>
        <w:rPr>
          <w:color w:val="auto"/>
        </w:rPr>
        <w:t xml:space="preserve">a </w:t>
      </w:r>
      <w:r>
        <w:rPr>
          <w:color w:val="auto"/>
        </w:rPr>
        <w:t>30%</w:t>
      </w:r>
      <w:r>
        <w:rPr>
          <w:color w:val="auto"/>
        </w:rPr>
        <w:t xml:space="preserve"> </w:t>
      </w:r>
      <w:r>
        <w:rPr>
          <w:color w:val="auto"/>
        </w:rPr>
        <w:t>do valor do contrato licitado.</w:t>
      </w:r>
    </w:p>
    <w:p>
      <w:pPr>
        <w:pStyle w:val="Nivel2"/>
        <w:numPr>
          <w:ilvl w:val="1"/>
          <w:numId w:val="1"/>
        </w:numPr>
        <w:ind w:left="0" w:hanging="0"/>
        <w:rPr>
          <w:color w:val="auto"/>
        </w:rPr>
      </w:pPr>
      <w:r>
        <w:rPr>
          <w:color w:val="auto"/>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color w:val="auto"/>
        </w:rPr>
        <w:t>Na aplicação da sanção de multa se</w:t>
      </w:r>
      <w:r>
        <w:rPr/>
        <w:t>rá facultada a defesa do interessado no prazo de 15 (quinze) dias úteis, contado da data de sua intimação.</w:t>
      </w:r>
    </w:p>
    <w:p>
      <w:pPr>
        <w:pStyle w:val="Nivel2"/>
        <w:numPr>
          <w:ilvl w:val="1"/>
          <w:numId w:val="1"/>
        </w:numPr>
        <w:ind w:left="0" w:hanging="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9.1.1</w:t>
      </w:r>
      <w:r>
        <w:rPr/>
        <w:fldChar w:fldCharType="end"/>
      </w:r>
      <w:r>
        <w:rPr/>
        <w:t xml:space="preserve">, </w:t>
      </w:r>
      <w:r>
        <w:rPr/>
        <w:fldChar w:fldCharType="begin"/>
      </w:r>
      <w:r>
        <w:rPr/>
        <w:instrText xml:space="preserve"> REF _Ref114668108 \r \h </w:instrText>
      </w:r>
      <w:r>
        <w:rPr/>
        <w:fldChar w:fldCharType="separate"/>
      </w:r>
      <w:r>
        <w:rPr/>
        <w:t>9.1.2</w:t>
      </w:r>
      <w:r>
        <w:rPr/>
        <w:fldChar w:fldCharType="end"/>
      </w:r>
      <w:r>
        <w:rPr/>
        <w:t xml:space="preserve"> e </w:t>
      </w:r>
      <w:r>
        <w:rPr/>
        <w:fldChar w:fldCharType="begin"/>
      </w:r>
      <w:r>
        <w:rPr/>
        <w:instrText xml:space="preserve"> REF _Ref114668139 \r \h </w:instrText>
      </w:r>
      <w:r>
        <w:rPr/>
        <w:fldChar w:fldCharType="separate"/>
      </w:r>
      <w:r>
        <w:rPr/>
        <w:t>9.1.3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9.1.4</w:t>
      </w:r>
      <w:r>
        <w:rPr/>
        <w:fldChar w:fldCharType="end"/>
      </w:r>
      <w:r>
        <w:rPr/>
        <w:t xml:space="preserve">, </w:t>
      </w:r>
      <w:r>
        <w:rPr/>
        <w:fldChar w:fldCharType="begin"/>
      </w:r>
      <w:r>
        <w:rPr/>
        <w:instrText xml:space="preserve"> REF _Ref114668245 \r \h </w:instrText>
      </w:r>
      <w:r>
        <w:rPr/>
        <w:fldChar w:fldCharType="separate"/>
      </w:r>
      <w:r>
        <w:rPr/>
        <w:t>9.1.5</w:t>
      </w:r>
      <w:r>
        <w:rPr/>
        <w:fldChar w:fldCharType="end"/>
      </w:r>
      <w:r>
        <w:rPr/>
        <w:t xml:space="preserve">, </w:t>
      </w:r>
      <w:r>
        <w:rPr/>
        <w:fldChar w:fldCharType="begin"/>
      </w:r>
      <w:r>
        <w:rPr/>
        <w:instrText xml:space="preserve"> REF _Ref114668247 \r \h </w:instrText>
      </w:r>
      <w:r>
        <w:rPr/>
        <w:fldChar w:fldCharType="separate"/>
      </w:r>
      <w:r>
        <w:rPr/>
        <w:t>9.1.6</w:t>
      </w:r>
      <w:r>
        <w:rPr/>
        <w:fldChar w:fldCharType="end"/>
      </w:r>
      <w:r>
        <w:rPr/>
        <w:t xml:space="preserve">, </w:t>
      </w:r>
      <w:r>
        <w:rPr/>
        <w:fldChar w:fldCharType="begin"/>
      </w:r>
      <w:r>
        <w:rPr/>
        <w:instrText xml:space="preserve"> REF _Ref114668251 \r \h </w:instrText>
      </w:r>
      <w:r>
        <w:rPr/>
        <w:fldChar w:fldCharType="separate"/>
      </w:r>
      <w:r>
        <w:rPr/>
        <w:t>9.1.7</w:t>
      </w:r>
      <w:r>
        <w:rPr/>
        <w:fldChar w:fldCharType="end"/>
      </w:r>
      <w:r>
        <w:rPr/>
        <w:t xml:space="preserve"> e </w:t>
      </w:r>
      <w:r>
        <w:rPr/>
        <w:fldChar w:fldCharType="begin"/>
      </w:r>
      <w:r>
        <w:rPr/>
        <w:instrText xml:space="preserve"> REF _Ref114668252 \r \h </w:instrText>
      </w:r>
      <w:r>
        <w:rPr/>
        <w:fldChar w:fldCharType="separate"/>
      </w:r>
      <w:r>
        <w:rPr/>
        <w:t>9.1.8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9.1.1</w:t>
      </w:r>
      <w:r>
        <w:rPr/>
        <w:fldChar w:fldCharType="end"/>
      </w:r>
      <w:r>
        <w:rPr/>
        <w:t xml:space="preserve">, </w:t>
      </w:r>
      <w:r>
        <w:rPr/>
        <w:fldChar w:fldCharType="begin"/>
      </w:r>
      <w:r>
        <w:rPr/>
        <w:instrText xml:space="preserve"> REF _Ref114668108 \r \h </w:instrText>
      </w:r>
      <w:r>
        <w:rPr/>
        <w:fldChar w:fldCharType="separate"/>
      </w:r>
      <w:r>
        <w:rPr/>
        <w:t>9.1.2</w:t>
      </w:r>
      <w:r>
        <w:rPr/>
        <w:fldChar w:fldCharType="end"/>
      </w:r>
      <w:r>
        <w:rPr/>
        <w:t xml:space="preserve"> e </w:t>
      </w:r>
      <w:r>
        <w:rPr/>
        <w:fldChar w:fldCharType="begin"/>
      </w:r>
      <w:r>
        <w:rPr/>
        <w:instrText xml:space="preserve"> REF _Ref114668139 \r \h </w:instrText>
      </w:r>
      <w:r>
        <w:rPr/>
        <w:fldChar w:fldCharType="separate"/>
      </w:r>
      <w:r>
        <w:rPr/>
        <w:t>9.1.3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xml:space="preserve">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9.1.3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19">
        <w:r>
          <w:rPr>
            <w:rStyle w:val="LinkdaInternet"/>
            <w:color w:val="000000"/>
            <w:u w:val="none"/>
          </w:rPr>
          <w:t>art. 45, §4º da IN SEGES/ME n.º 73, de 2022</w:t>
        </w:r>
      </w:hyperlink>
      <w:r>
        <w:rPr/>
        <w:t>.</w:t>
      </w:r>
    </w:p>
    <w:p>
      <w:pPr>
        <w:pStyle w:val="Nivel2"/>
        <w:numPr>
          <w:ilvl w:val="1"/>
          <w:numId w:val="1"/>
        </w:numPr>
        <w:ind w:lef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r>
        <w:rPr/>
        <w:t>A aplicação das sanções previstas neste edital não exclui, em hipótese alguma, a obrigação de reparação integral dos danos causados.</w:t>
      </w:r>
    </w:p>
    <w:p>
      <w:pPr>
        <w:pStyle w:val="Nivel01"/>
        <w:numPr>
          <w:ilvl w:val="0"/>
          <w:numId w:val="1"/>
        </w:numPr>
        <w:rPr/>
      </w:pPr>
      <w:bookmarkStart w:id="70" w:name="__RefHeading___Toc2427_4057462178"/>
      <w:bookmarkStart w:id="71" w:name="_Toc135469235"/>
      <w:bookmarkEnd w:id="70"/>
      <w:r>
        <w:rPr/>
        <w:t>DA IMPUGNAÇÃO AO EDITAL E DO PEDIDO DE ESCLARECIMENTO</w:t>
      </w:r>
      <w:bookmarkEnd w:id="71"/>
    </w:p>
    <w:p>
      <w:pPr>
        <w:pStyle w:val="Nivel2"/>
        <w:numPr>
          <w:ilvl w:val="1"/>
          <w:numId w:val="1"/>
        </w:numPr>
        <w:ind w:left="0" w:hanging="0"/>
        <w:rPr/>
      </w:pPr>
      <w:r>
        <w:rPr/>
        <w:t xml:space="preserve">Qualquer pessoa é parte legítima para impugnar este Edital por irregularidade na aplicação da </w:t>
      </w:r>
      <w:hyperlink r:id="rId20">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t xml:space="preserve">A impugnação e o pedido </w:t>
      </w:r>
      <w:r>
        <w:rPr>
          <w:i w:val="false"/>
          <w:iCs w:val="false"/>
          <w:color w:val="auto"/>
        </w:rPr>
        <w:t xml:space="preserve">de esclarecimento poderão ser realizados por forma eletrônica, </w:t>
      </w:r>
      <w:r>
        <w:rPr>
          <w:i w:val="false"/>
          <w:iCs w:val="false"/>
          <w:color w:val="auto"/>
        </w:rPr>
        <w:t>através do seguinte endereço de e-mail</w:t>
      </w:r>
      <w:r>
        <w:rPr>
          <w:i w:val="false"/>
          <w:iCs w:val="false"/>
          <w:color w:val="auto"/>
        </w:rPr>
        <w:t xml:space="preserve">: </w:t>
      </w:r>
      <w:r>
        <w:rPr>
          <w:i w:val="false"/>
          <w:iCs w:val="false"/>
          <w:color w:val="auto"/>
        </w:rPr>
        <w:t>licitacao@ibiruba.ifrs.edu.br.</w:t>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r>
        <w:rPr/>
        <w:t>A concessão de efeito suspensivo à impugnação é medida excepcional e deverá ser motivada pelo agente de contratação, nos autos do processo de licitação.</w:t>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72" w:name="__RefHeading___Toc2429_4057462178"/>
      <w:bookmarkStart w:id="73" w:name="_Toc135469236"/>
      <w:bookmarkEnd w:id="72"/>
      <w:r>
        <w:rPr/>
        <w:t>DAS DISPOSIÇÕES GERAIS</w:t>
      </w:r>
      <w:bookmarkEnd w:id="73"/>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rPr>
      </w:pPr>
      <w:r>
        <w:rPr/>
        <w:t>O Edital e seus anexos estão disponíveis, na íntegra, no Portal Nacional de Contratações Públicas (PNCP) e endereço eletrô</w:t>
      </w:r>
      <w:r>
        <w:rPr>
          <w:color w:val="auto"/>
        </w:rPr>
        <w:t xml:space="preserve">nico </w:t>
      </w:r>
      <w:r>
        <w:rPr>
          <w:rFonts w:eastAsia="ＭＳ 明朝" w:cs="Arial"/>
          <w:b/>
          <w:i w:val="false"/>
          <w:color w:val="auto"/>
          <w:kern w:val="0"/>
          <w:sz w:val="20"/>
          <w:szCs w:val="20"/>
          <w:lang w:val="pt-BR" w:eastAsia="pt-BR" w:bidi="ar-SA"/>
        </w:rPr>
        <w:t>https://ifrs.edu.br/ibiruba/administracao-e-planejamento/licitacoes-e-contratos/licitacoes</w:t>
      </w:r>
      <w:r>
        <w:rPr>
          <w:color w:val="auto"/>
        </w:rPr>
        <w:t>.</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w:t>
      </w:r>
      <w:r>
        <w:rPr>
          <w:b w:val="false"/>
          <w:bCs w:val="false"/>
          <w:u w:val="none"/>
        </w:rPr>
        <w:t>XO I - Termo de Referência;</w:t>
      </w:r>
    </w:p>
    <w:p>
      <w:pPr>
        <w:pStyle w:val="Nivel4"/>
        <w:numPr>
          <w:ilvl w:val="3"/>
          <w:numId w:val="1"/>
        </w:numPr>
        <w:ind w:left="567" w:hanging="0"/>
        <w:rPr>
          <w:b w:val="false"/>
          <w:b w:val="false"/>
          <w:bCs w:val="false"/>
          <w:u w:val="none"/>
        </w:rPr>
      </w:pPr>
      <w:r>
        <w:rPr>
          <w:b w:val="false"/>
          <w:bCs w:val="false"/>
          <w:u w:val="none"/>
        </w:rPr>
        <w:t>Apêndice I do Anexo I – Estudo Técnico Preliminar;</w:t>
      </w:r>
    </w:p>
    <w:p>
      <w:pPr>
        <w:pStyle w:val="Normal"/>
        <w:numPr>
          <w:ilvl w:val="3"/>
          <w:numId w:val="1"/>
        </w:numPr>
        <w:ind w:left="567" w:hanging="0"/>
        <w:rPr>
          <w:b w:val="false"/>
          <w:b w:val="false"/>
          <w:bCs w:val="false"/>
          <w:u w:val="none"/>
        </w:rPr>
      </w:pPr>
      <w:r>
        <w:rPr>
          <w:rFonts w:eastAsia="ＭＳ 明朝" w:cs="Arial" w:ascii="Arial" w:hAnsi="Arial"/>
          <w:b w:val="false"/>
          <w:bCs w:val="false"/>
          <w:i w:val="false"/>
          <w:color w:val="auto"/>
          <w:kern w:val="0"/>
          <w:sz w:val="20"/>
          <w:szCs w:val="20"/>
          <w:u w:val="none"/>
          <w:lang w:val="pt-BR" w:eastAsia="pt-BR" w:bidi="ar-SA"/>
        </w:rPr>
        <w:t>Apêndice II do Anexo I – Instrumento de Medição de Resultados (IMR);</w:t>
      </w:r>
    </w:p>
    <w:p>
      <w:pPr>
        <w:pStyle w:val="Normal"/>
        <w:numPr>
          <w:ilvl w:val="0"/>
          <w:numId w:val="0"/>
        </w:numPr>
        <w:ind w:left="567" w:hanging="0"/>
        <w:rPr>
          <w:b w:val="false"/>
          <w:b w:val="false"/>
          <w:bCs w:val="false"/>
          <w:i w:val="false"/>
          <w:i w:val="false"/>
          <w:u w:val="none"/>
        </w:rPr>
      </w:pPr>
      <w:r>
        <w:rPr>
          <w:b w:val="false"/>
          <w:bCs w:val="false"/>
          <w:i w:val="false"/>
          <w:u w:val="none"/>
        </w:rPr>
      </w:r>
    </w:p>
    <w:p>
      <w:pPr>
        <w:pStyle w:val="Normal"/>
        <w:numPr>
          <w:ilvl w:val="2"/>
          <w:numId w:val="1"/>
        </w:numPr>
        <w:ind w:left="284" w:hanging="0"/>
        <w:rPr>
          <w:b w:val="false"/>
          <w:b w:val="false"/>
          <w:bCs w:val="false"/>
          <w:u w:val="none"/>
        </w:rPr>
      </w:pPr>
      <w:r>
        <w:rPr>
          <w:rFonts w:eastAsia="ＭＳ 明朝" w:cs="Arial" w:ascii="Arial" w:hAnsi="Arial"/>
          <w:b w:val="false"/>
          <w:bCs w:val="false"/>
          <w:i w:val="false"/>
          <w:color w:val="000000"/>
          <w:kern w:val="0"/>
          <w:sz w:val="20"/>
          <w:szCs w:val="20"/>
          <w:u w:val="none"/>
          <w:lang w:val="pt-BR" w:eastAsia="pt-BR" w:bidi="ar-SA"/>
        </w:rPr>
        <w:t>ANEXO II - Modelo de Proposta Comercial;</w:t>
      </w:r>
    </w:p>
    <w:p>
      <w:pPr>
        <w:pStyle w:val="Nivel3"/>
        <w:numPr>
          <w:ilvl w:val="2"/>
          <w:numId w:val="1"/>
        </w:numPr>
        <w:ind w:left="284" w:hanging="0"/>
        <w:rPr>
          <w:b w:val="false"/>
          <w:b w:val="false"/>
          <w:bCs w:val="false"/>
          <w:u w:val="none"/>
        </w:rPr>
      </w:pPr>
      <w:r>
        <w:rPr>
          <w:b w:val="false"/>
          <w:bCs w:val="false"/>
          <w:u w:val="none"/>
        </w:rPr>
        <w:t>ANEXO III – Minuta de Termo de Contrato</w:t>
      </w:r>
    </w:p>
    <w:p>
      <w:pPr>
        <w:pStyle w:val="Normal"/>
        <w:numPr>
          <w:ilvl w:val="2"/>
          <w:numId w:val="1"/>
        </w:numPr>
        <w:spacing w:lineRule="auto" w:line="360"/>
        <w:ind w:left="284" w:hanging="0"/>
        <w:rPr>
          <w:b w:val="false"/>
          <w:b w:val="false"/>
          <w:bCs w:val="false"/>
          <w:u w:val="none"/>
        </w:rPr>
      </w:pPr>
      <w:r>
        <w:rPr>
          <w:rFonts w:eastAsia="ＭＳ 明朝" w:cs="Arial" w:ascii="Arial" w:hAnsi="Arial"/>
          <w:b w:val="false"/>
          <w:bCs w:val="false"/>
          <w:color w:val="000000"/>
          <w:kern w:val="0"/>
          <w:sz w:val="20"/>
          <w:szCs w:val="20"/>
          <w:u w:val="none"/>
          <w:lang w:val="pt-BR" w:eastAsia="pt-BR" w:bidi="ar-SA"/>
        </w:rPr>
        <w:t xml:space="preserve"> </w:t>
      </w:r>
      <w:r>
        <w:rPr>
          <w:rFonts w:eastAsia="ＭＳ 明朝" w:cs="Arial" w:ascii="Arial" w:hAnsi="Arial"/>
          <w:b w:val="false"/>
          <w:bCs w:val="false"/>
          <w:i w:val="false"/>
          <w:color w:val="000000"/>
          <w:kern w:val="0"/>
          <w:sz w:val="20"/>
          <w:szCs w:val="20"/>
          <w:u w:val="none"/>
          <w:lang w:val="pt-BR" w:eastAsia="pt-BR" w:bidi="ar-SA"/>
        </w:rPr>
        <w:t>ANEXO IV – Atestado de Vistoria Técnica;</w:t>
      </w:r>
    </w:p>
    <w:p>
      <w:pPr>
        <w:pStyle w:val="Normal"/>
        <w:numPr>
          <w:ilvl w:val="2"/>
          <w:numId w:val="1"/>
        </w:numPr>
        <w:spacing w:lineRule="auto" w:line="360"/>
        <w:ind w:left="284" w:hanging="0"/>
        <w:rPr>
          <w:b w:val="false"/>
          <w:b w:val="false"/>
          <w:bCs w:val="false"/>
          <w:u w:val="none"/>
        </w:rPr>
      </w:pPr>
      <w:r>
        <w:rPr>
          <w:rFonts w:eastAsia="ＭＳ 明朝" w:cs="Arial" w:ascii="Arial" w:hAnsi="Arial"/>
          <w:b w:val="false"/>
          <w:bCs w:val="false"/>
          <w:color w:val="000000"/>
          <w:kern w:val="0"/>
          <w:sz w:val="20"/>
          <w:szCs w:val="20"/>
          <w:u w:val="none"/>
          <w:lang w:val="pt-BR" w:eastAsia="pt-BR" w:bidi="ar-SA"/>
        </w:rPr>
        <w:t xml:space="preserve"> </w:t>
      </w:r>
      <w:r>
        <w:rPr>
          <w:rFonts w:eastAsia="ＭＳ 明朝" w:cs="Arial" w:ascii="Arial" w:hAnsi="Arial"/>
          <w:b w:val="false"/>
          <w:bCs w:val="false"/>
          <w:i w:val="false"/>
          <w:color w:val="000000"/>
          <w:kern w:val="0"/>
          <w:sz w:val="20"/>
          <w:szCs w:val="20"/>
          <w:u w:val="none"/>
          <w:lang w:val="pt-BR" w:eastAsia="pt-BR" w:bidi="ar-SA"/>
        </w:rPr>
        <w:t>ANEXO V - Declaração de Pleno Conhecimento.</w:t>
      </w:r>
    </w:p>
    <w:p>
      <w:pPr>
        <w:pStyle w:val="Normal"/>
        <w:rPr>
          <w:highlight w:val="cyan"/>
        </w:rPr>
      </w:pPr>
      <w:r>
        <w:rPr>
          <w:highlight w:val="cyan"/>
        </w:rPr>
      </w:r>
    </w:p>
    <w:p>
      <w:pPr>
        <w:pStyle w:val="Nivel2"/>
        <w:numPr>
          <w:ilvl w:val="0"/>
          <w:numId w:val="0"/>
        </w:numPr>
        <w:ind w:left="4969" w:hanging="0"/>
        <w:rPr/>
      </w:pPr>
      <w:r>
        <w:rPr/>
      </w:r>
    </w:p>
    <w:p>
      <w:pPr>
        <w:pStyle w:val="Normal"/>
        <w:spacing w:lineRule="auto" w:line="312" w:before="288" w:after="288"/>
        <w:ind w:firstLine="567"/>
        <w:rPr>
          <w:highlight w:val="none"/>
          <w:shd w:fill="auto" w:val="clear"/>
        </w:rPr>
      </w:pPr>
      <w:r>
        <w:rPr>
          <w:rFonts w:eastAsia="ＭＳ 明朝" w:cs="Arial" w:ascii="Arial" w:hAnsi="Arial"/>
          <w:b w:val="false"/>
          <w:i w:val="false"/>
          <w:color w:val="000000"/>
          <w:kern w:val="0"/>
          <w:sz w:val="20"/>
          <w:szCs w:val="20"/>
          <w:shd w:fill="auto" w:val="clear"/>
          <w:lang w:val="pt-BR" w:eastAsia="pt-BR" w:bidi="ar-SA"/>
        </w:rPr>
        <w:t xml:space="preserve">Ibirubá / RS, </w:t>
      </w:r>
      <w:r>
        <w:rPr>
          <w:rFonts w:eastAsia="ＭＳ 明朝" w:cs="Arial" w:ascii="Arial" w:hAnsi="Arial"/>
          <w:b w:val="false"/>
          <w:i w:val="false"/>
          <w:color w:val="000000"/>
          <w:kern w:val="0"/>
          <w:sz w:val="20"/>
          <w:szCs w:val="20"/>
          <w:shd w:fill="auto" w:val="clear"/>
          <w:lang w:val="pt-BR" w:eastAsia="pt-BR" w:bidi="ar-SA"/>
        </w:rPr>
        <w:t>25</w:t>
      </w:r>
      <w:r>
        <w:rPr>
          <w:rFonts w:eastAsia="ＭＳ 明朝" w:cs="Arial" w:ascii="Arial" w:hAnsi="Arial"/>
          <w:b w:val="false"/>
          <w:i w:val="false"/>
          <w:color w:val="000000"/>
          <w:kern w:val="0"/>
          <w:sz w:val="20"/>
          <w:szCs w:val="20"/>
          <w:shd w:fill="auto" w:val="clear"/>
          <w:lang w:val="pt-BR" w:eastAsia="pt-BR" w:bidi="ar-SA"/>
        </w:rPr>
        <w:t xml:space="preserve"> de </w:t>
      </w:r>
      <w:r>
        <w:rPr>
          <w:rFonts w:eastAsia="ＭＳ 明朝" w:cs="Arial" w:ascii="Arial" w:hAnsi="Arial"/>
          <w:b w:val="false"/>
          <w:i w:val="false"/>
          <w:color w:val="000000"/>
          <w:kern w:val="0"/>
          <w:sz w:val="20"/>
          <w:szCs w:val="20"/>
          <w:shd w:fill="auto" w:val="clear"/>
          <w:lang w:val="pt-BR" w:eastAsia="pt-BR" w:bidi="ar-SA"/>
        </w:rPr>
        <w:t>outu</w:t>
      </w:r>
      <w:r>
        <w:rPr>
          <w:rFonts w:eastAsia="ＭＳ 明朝" w:cs="Arial" w:ascii="Arial" w:hAnsi="Arial"/>
          <w:b w:val="false"/>
          <w:i w:val="false"/>
          <w:color w:val="000000"/>
          <w:kern w:val="0"/>
          <w:sz w:val="20"/>
          <w:szCs w:val="20"/>
          <w:shd w:fill="auto" w:val="clear"/>
          <w:lang w:val="pt-BR" w:eastAsia="pt-BR" w:bidi="ar-SA"/>
        </w:rPr>
        <w:t>bro de 2023.</w:t>
      </w:r>
    </w:p>
    <w:p>
      <w:pPr>
        <w:pStyle w:val="Normal"/>
        <w:spacing w:lineRule="auto" w:line="312" w:before="288" w:after="288"/>
        <w:ind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spacing w:lineRule="auto" w:line="312" w:before="288" w:after="288"/>
        <w:ind w:firstLine="567"/>
        <w:jc w:val="center"/>
        <w:rPr>
          <w:rFonts w:ascii="Arial" w:hAnsi="Arial" w:eastAsia="ＭＳ 明朝" w:cs="Arial"/>
          <w:color w:val="auto"/>
          <w:kern w:val="0"/>
          <w:sz w:val="20"/>
          <w:szCs w:val="20"/>
          <w:lang w:val="pt-BR" w:eastAsia="pt-BR" w:bidi="ar-SA"/>
        </w:rPr>
      </w:pPr>
      <w:r>
        <w:rPr>
          <w:rFonts w:eastAsia="ＭＳ 明朝" w:cs="Arial" w:ascii="Arial" w:hAnsi="Arial"/>
          <w:color w:val="auto"/>
          <w:kern w:val="0"/>
          <w:sz w:val="20"/>
          <w:szCs w:val="20"/>
          <w:lang w:val="pt-BR" w:eastAsia="pt-BR" w:bidi="ar-SA"/>
        </w:rPr>
        <w:t>_________________________________________</w:t>
      </w:r>
    </w:p>
    <w:p>
      <w:pPr>
        <w:pStyle w:val="Normal"/>
        <w:spacing w:lineRule="auto" w:line="312" w:before="288" w:after="288"/>
        <w:ind w:firstLine="567"/>
        <w:jc w:val="center"/>
        <w:rPr>
          <w:rFonts w:ascii="Arial" w:hAnsi="Arial" w:eastAsia="ＭＳ 明朝" w:cs="Arial"/>
          <w:color w:val="auto"/>
          <w:kern w:val="0"/>
          <w:sz w:val="20"/>
          <w:szCs w:val="20"/>
          <w:lang w:val="pt-BR" w:eastAsia="pt-BR" w:bidi="ar-SA"/>
        </w:rPr>
      </w:pPr>
      <w:r>
        <w:rPr>
          <w:rFonts w:eastAsia="ＭＳ 明朝" w:cs="Arial" w:ascii="Arial" w:hAnsi="Arial"/>
          <w:b w:val="false"/>
          <w:i w:val="false"/>
          <w:color w:val="auto"/>
          <w:kern w:val="0"/>
          <w:sz w:val="20"/>
          <w:szCs w:val="20"/>
          <w:lang w:val="pt-BR" w:eastAsia="pt-BR" w:bidi="ar-SA"/>
        </w:rPr>
        <w:t>Sandra Rejane Zorzo Peringer</w:t>
      </w:r>
    </w:p>
    <w:p>
      <w:pPr>
        <w:pStyle w:val="Normal"/>
        <w:spacing w:lineRule="auto" w:line="312" w:before="288" w:after="288"/>
        <w:ind w:firstLine="567"/>
        <w:jc w:val="center"/>
        <w:rPr>
          <w:rFonts w:ascii="Arial" w:hAnsi="Arial" w:eastAsia="ＭＳ 明朝" w:cs="Arial"/>
          <w:color w:val="auto"/>
          <w:kern w:val="0"/>
          <w:sz w:val="20"/>
          <w:szCs w:val="20"/>
          <w:lang w:val="pt-BR" w:eastAsia="pt-BR" w:bidi="ar-SA"/>
        </w:rPr>
      </w:pPr>
      <w:r>
        <w:rPr>
          <w:rFonts w:eastAsia="ＭＳ 明朝" w:cs="Arial" w:ascii="Arial" w:hAnsi="Arial"/>
          <w:b w:val="false"/>
          <w:i w:val="false"/>
          <w:color w:val="auto"/>
          <w:kern w:val="0"/>
          <w:sz w:val="20"/>
          <w:szCs w:val="20"/>
          <w:lang w:val="pt-BR" w:eastAsia="pt-BR" w:bidi="ar-SA"/>
        </w:rPr>
        <w:t>Diretora Geral e Ordenadora de Despesas</w:t>
      </w:r>
    </w:p>
    <w:p>
      <w:pPr>
        <w:pStyle w:val="Normal"/>
        <w:spacing w:lineRule="auto" w:line="312" w:before="288" w:after="288"/>
        <w:ind w:firstLine="567"/>
        <w:jc w:val="center"/>
        <w:rPr/>
      </w:pPr>
      <w:r>
        <w:rPr>
          <w:rFonts w:eastAsia="ＭＳ 明朝" w:cs="Arial" w:ascii="Arial" w:hAnsi="Arial"/>
          <w:b w:val="false"/>
          <w:i w:val="false"/>
          <w:color w:val="auto"/>
          <w:kern w:val="0"/>
          <w:sz w:val="20"/>
          <w:szCs w:val="20"/>
          <w:lang w:val="pt-BR" w:eastAsia="pt-BR" w:bidi="ar-SA"/>
        </w:rPr>
        <w:t>Portaria nº 154/2020</w:t>
      </w:r>
    </w:p>
    <w:sectPr>
      <w:headerReference w:type="default" r:id="rId21"/>
      <w:headerReference w:type="first" r:id="rId22"/>
      <w:footerReference w:type="default" r:id="rId23"/>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docs-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7077492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jc w:val="center"/>
          <w:rPr>
            <w:rFonts w:ascii="Arial" w:hAnsi="Arial" w:cs="Arial"/>
            <w:color w:val="7F7F7F" w:themeColor="text1" w:themeTint="80"/>
            <w:sz w:val="18"/>
            <w:szCs w:val="18"/>
          </w:rPr>
        </w:pP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16</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16</w:t>
        </w:r>
        <w:r>
          <w:rPr>
            <w:sz w:val="18"/>
            <w:szCs w:val="18"/>
            <w:rFonts w:cs="Arial" w:ascii="Arial" w:hAnsi="Arial"/>
            <w:color w:val="595959"/>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rPr>
      <w:t>49</w:t>
    </w:r>
    <w:r>
      <w:rPr>
        <w:rFonts w:cs="Arial" w:ascii="Arial" w:hAnsi="Arial"/>
        <w:sz w:val="20"/>
        <w:szCs w:val="20"/>
      </w:rPr>
      <w:t>/</w:t>
    </w:r>
    <w:r>
      <w:rPr>
        <w:rFonts w:cs="Arial" w:ascii="Arial" w:hAnsi="Arial"/>
        <w:sz w:val="20"/>
        <w:szCs w:val="20"/>
      </w:rPr>
      <w:t>2023</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page">
            <wp:align>left</wp:align>
          </wp:positionH>
          <wp:positionV relativeFrom="page">
            <wp:posOffset>9525</wp:posOffset>
          </wp:positionV>
          <wp:extent cx="7560310" cy="10692765"/>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ortaltransparencia.gov.br/sancoes/ceis" TargetMode="External"/><Relationship Id="rId11" Type="http://schemas.openxmlformats.org/officeDocument/2006/relationships/hyperlink" Target="https://www.portaltransparencia.gov.br/sancoes/cnep" TargetMode="External"/><Relationship Id="rId12" Type="http://schemas.openxmlformats.org/officeDocument/2006/relationships/hyperlink" Target="https://www.gov.br/compras/pt-br/acesso-a-informacao/legislacao/instrucoes-normativas/instrucao-normativa-no-3-de-26-de-abril-de-2018"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planalto.gov.br/ccivil_03/_ato2015-2018/2016/decreto/d8660.htm"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Relationship Id="rId29" Type="http://schemas.openxmlformats.org/officeDocument/2006/relationships/customXml" Target="../customXml/item2.xml"/><Relationship Id="rId30" Type="http://schemas.openxmlformats.org/officeDocument/2006/relationships/customXml" Target="../customXml/item3.xml"/><Relationship Id="rId31"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602</TotalTime>
  <Application>LibreOffice/7.4.1.2$Windows_X86_64 LibreOffice_project/3c58a8f3a960df8bc8fd77b461821e42c061c5f0</Application>
  <AppVersion>15.0000</AppVersion>
  <Pages>16</Pages>
  <Words>6578</Words>
  <Characters>36715</Characters>
  <CharactersWithSpaces>42829</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2023-10-24T20:42:36Z</cp:lastPrinted>
  <dcterms:modified xsi:type="dcterms:W3CDTF">2023-10-24T20:43:44Z</dcterms:modified>
  <cp:revision>81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